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9643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AE19E" wp14:editId="7A1E2B82">
            <wp:extent cx="758825" cy="914400"/>
            <wp:effectExtent l="0" t="0" r="317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3FD4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66C8AFF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1D1D3E18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5E3CFF3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FAD5DB8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8E60A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08F1176A" w14:textId="77777777" w:rsidR="008E60A6" w:rsidRPr="008E60A6" w:rsidRDefault="008E60A6" w:rsidP="001B40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41C007F" w14:textId="394DC57B" w:rsidR="008E60A6" w:rsidRPr="008E60A6" w:rsidRDefault="009D5DAB" w:rsidP="001B40A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</w:t>
      </w:r>
      <w:r w:rsidR="008409A4">
        <w:rPr>
          <w:rFonts w:ascii="Times New Roman" w:eastAsia="Calibri" w:hAnsi="Times New Roman" w:cs="Times New Roman"/>
          <w:sz w:val="28"/>
        </w:rPr>
        <w:t>09.02.</w:t>
      </w:r>
      <w:r>
        <w:rPr>
          <w:rFonts w:ascii="Times New Roman" w:eastAsia="Calibri" w:hAnsi="Times New Roman" w:cs="Times New Roman"/>
          <w:sz w:val="28"/>
        </w:rPr>
        <w:t>20</w:t>
      </w:r>
      <w:r w:rsidR="008409A4">
        <w:rPr>
          <w:rFonts w:ascii="Times New Roman" w:eastAsia="Calibri" w:hAnsi="Times New Roman" w:cs="Times New Roman"/>
          <w:sz w:val="28"/>
        </w:rPr>
        <w:t>21</w:t>
      </w:r>
      <w:r>
        <w:rPr>
          <w:rFonts w:ascii="Times New Roman" w:eastAsia="Calibri" w:hAnsi="Times New Roman" w:cs="Times New Roman"/>
          <w:sz w:val="28"/>
        </w:rPr>
        <w:t xml:space="preserve"> г.</w:t>
      </w:r>
      <w:r>
        <w:rPr>
          <w:rFonts w:ascii="Times New Roman" w:eastAsia="Calibri" w:hAnsi="Times New Roman" w:cs="Times New Roman"/>
          <w:sz w:val="28"/>
        </w:rPr>
        <w:tab/>
        <w:t xml:space="preserve">  № </w:t>
      </w:r>
      <w:r w:rsidR="008409A4">
        <w:rPr>
          <w:rFonts w:ascii="Times New Roman" w:eastAsia="Calibri" w:hAnsi="Times New Roman" w:cs="Times New Roman"/>
          <w:sz w:val="28"/>
        </w:rPr>
        <w:t>114</w:t>
      </w:r>
    </w:p>
    <w:p w14:paraId="614BCA72" w14:textId="77777777" w:rsidR="008E60A6" w:rsidRPr="008E60A6" w:rsidRDefault="008E60A6" w:rsidP="001B40A7">
      <w:pPr>
        <w:spacing w:after="0" w:line="240" w:lineRule="auto"/>
        <w:ind w:right="2975"/>
        <w:rPr>
          <w:rFonts w:ascii="Times New Roman" w:eastAsia="Calibri" w:hAnsi="Times New Roman" w:cs="Times New Roman"/>
          <w:b/>
          <w:sz w:val="28"/>
          <w:szCs w:val="24"/>
        </w:rPr>
      </w:pPr>
      <w:r w:rsidRPr="008E60A6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33A26E1A" w14:textId="77777777" w:rsidR="008E60A6" w:rsidRPr="008E60A6" w:rsidRDefault="008E60A6" w:rsidP="001B40A7">
      <w:pPr>
        <w:spacing w:line="240" w:lineRule="auto"/>
        <w:ind w:right="29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>Турковского</w:t>
      </w:r>
      <w:proofErr w:type="spellEnd"/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AD1E42">
        <w:rPr>
          <w:rFonts w:ascii="Times New Roman" w:eastAsia="Times New Roman" w:hAnsi="Times New Roman" w:cs="Times New Roman"/>
          <w:b/>
          <w:sz w:val="28"/>
          <w:szCs w:val="28"/>
        </w:rPr>
        <w:t>района» на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966AA7E" w14:textId="77777777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8E60A6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8E60A6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1B40A7" w:rsidRPr="008E60A6">
        <w:rPr>
          <w:rFonts w:ascii="Times New Roman" w:eastAsia="Calibri" w:hAnsi="Times New Roman" w:cs="Times New Roman"/>
          <w:sz w:val="28"/>
          <w:szCs w:val="28"/>
        </w:rPr>
        <w:t>района ПОСТАНОВЛЯЕТ</w:t>
      </w:r>
      <w:r w:rsidRPr="008E60A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A795D0" w14:textId="1700C67D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>1.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8E60A6">
        <w:rPr>
          <w:rFonts w:ascii="Times New Roman" w:eastAsia="Times New Roman" w:hAnsi="Times New Roman" w:cs="Times New Roman"/>
          <w:sz w:val="28"/>
          <w:szCs w:val="28"/>
        </w:rPr>
        <w:t>Турковског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8D7945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ального района» на 2021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0A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711A702C" w14:textId="3230D8FA" w:rsidR="009E2488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42">
        <w:rPr>
          <w:rFonts w:ascii="Times New Roman" w:eastAsia="Calibri" w:hAnsi="Times New Roman" w:cs="Times New Roman"/>
          <w:sz w:val="28"/>
          <w:szCs w:val="28"/>
        </w:rPr>
        <w:t>2.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E2488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9E24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25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2019 г</w:t>
      </w:r>
      <w:r w:rsidR="009E2488">
        <w:rPr>
          <w:rFonts w:ascii="Times New Roman" w:eastAsia="Calibri" w:hAnsi="Times New Roman" w:cs="Times New Roman"/>
          <w:sz w:val="28"/>
          <w:szCs w:val="28"/>
        </w:rPr>
        <w:t>ода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№ 1861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«Поддержка социально ориентированных некоммерческих организаций </w:t>
      </w:r>
      <w:proofErr w:type="spellStart"/>
      <w:r w:rsidR="009E2488" w:rsidRPr="009E2488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на 2020-2022 годы</w:t>
      </w:r>
      <w:r w:rsidR="009E24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370A4" w14:textId="1E4E29FE" w:rsidR="008E60A6" w:rsidRPr="008E60A6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60A6" w:rsidRPr="008E60A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14:paraId="57D53CD0" w14:textId="77777777" w:rsidR="008E60A6" w:rsidRPr="008E60A6" w:rsidRDefault="008E60A6" w:rsidP="001B40A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14:paraId="2A8ACD82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11F77F6F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5EE08011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8E60A6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</w:p>
    <w:p w14:paraId="659DF599" w14:textId="779DD566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409A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E60A6"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14:paraId="77E3DE39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82296" w14:textId="77777777" w:rsidR="00870C15" w:rsidRDefault="00870C15" w:rsidP="008E60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70C15" w:rsidSect="000C1ED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DC038BD" w14:textId="7B1C6D19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B40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8409A4">
        <w:rPr>
          <w:rFonts w:ascii="Times New Roman" w:eastAsia="Times New Roman" w:hAnsi="Times New Roman" w:cs="Times New Roman"/>
          <w:sz w:val="28"/>
          <w:szCs w:val="28"/>
        </w:rPr>
        <w:t>09.02.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09A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409A4">
        <w:rPr>
          <w:rFonts w:ascii="Times New Roman" w:eastAsia="Times New Roman" w:hAnsi="Times New Roman" w:cs="Times New Roman"/>
          <w:sz w:val="28"/>
          <w:szCs w:val="28"/>
        </w:rPr>
        <w:t xml:space="preserve">  № 114</w:t>
      </w:r>
    </w:p>
    <w:p w14:paraId="124D7272" w14:textId="77777777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C3357" w14:textId="77777777" w:rsidR="001B40A7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1B4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BA65B9" w14:textId="77777777" w:rsidR="00031A03" w:rsidRPr="00031A03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района» на 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8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7D8728F4" w14:textId="77777777" w:rsidR="00544306" w:rsidRDefault="00544306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D513B" w14:textId="2A3728D0" w:rsidR="00031A03" w:rsidRPr="00031A03" w:rsidRDefault="001336A4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70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7"/>
        <w:gridCol w:w="1590"/>
        <w:gridCol w:w="2160"/>
        <w:gridCol w:w="2023"/>
      </w:tblGrid>
      <w:tr w:rsidR="00031A03" w:rsidRPr="001B40A7" w14:paraId="574A7D69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B58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2ED" w14:textId="77777777" w:rsidR="00031A03" w:rsidRPr="001B40A7" w:rsidRDefault="00031A03" w:rsidP="009203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225E41"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на 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1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3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031A03" w:rsidRPr="001B40A7" w14:paraId="3C9ECB8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11A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9B0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14:paraId="4CB50F2D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90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7B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14:paraId="65C1CB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05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4D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14:paraId="2E9E43D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6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46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>является поддержка и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развитие деятельности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14:paraId="55D5AB0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pacing w:val="2"/>
                <w:sz w:val="28"/>
                <w:szCs w:val="28"/>
              </w:rPr>
              <w:t>Достижение цели возможно посредством решения следующих задач:</w:t>
            </w:r>
          </w:p>
          <w:p w14:paraId="010E498A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НКО;</w:t>
            </w:r>
          </w:p>
          <w:p w14:paraId="1C27F67F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14:paraId="442824EE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14:paraId="531D85AE" w14:textId="77777777" w:rsidR="00031A03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районе.</w:t>
            </w:r>
          </w:p>
        </w:tc>
      </w:tr>
      <w:tr w:rsidR="00031A03" w:rsidRPr="001B40A7" w14:paraId="1E69B978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A071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7A9" w14:textId="77777777" w:rsidR="00031A03" w:rsidRPr="001B40A7" w:rsidRDefault="00225E41" w:rsidP="009203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1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3</w:t>
            </w:r>
            <w:r w:rsidR="00F84D75"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62433" w:rsidRPr="001B40A7" w14:paraId="5A0AE3C4" w14:textId="77777777" w:rsidTr="00462433">
        <w:trPr>
          <w:trHeight w:val="3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8D0AD" w14:textId="37ED87B9" w:rsidR="00462433" w:rsidRPr="001B40A7" w:rsidRDefault="0046243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016" w14:textId="78535ED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расходы (тыс. руб.)</w:t>
            </w:r>
          </w:p>
        </w:tc>
      </w:tr>
      <w:tr w:rsidR="00462433" w:rsidRPr="001B40A7" w14:paraId="51713062" w14:textId="119ECB59" w:rsidTr="00462433">
        <w:trPr>
          <w:trHeight w:val="105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148" w14:textId="77777777" w:rsidR="00462433" w:rsidRPr="003338BA" w:rsidRDefault="00462433" w:rsidP="0046243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EDB" w14:textId="35D5124D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A63A" w14:textId="4A2BE02D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B8B" w14:textId="1043EDC6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4D7" w14:textId="19058D17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</w:tr>
      <w:tr w:rsidR="00462433" w:rsidRPr="001B40A7" w14:paraId="22C55DB0" w14:textId="04A306C1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68D" w14:textId="474F4E35" w:rsidR="00462433" w:rsidRPr="001B40A7" w:rsidRDefault="00462433" w:rsidP="004624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 xml:space="preserve">Бюджет </w:t>
            </w:r>
            <w:proofErr w:type="spellStart"/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F18" w14:textId="67A5A572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588" w14:textId="0062FE09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412" w14:textId="75F0A024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C03" w14:textId="2B3C7D3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31A03" w:rsidRPr="001B40A7" w14:paraId="45CB86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BF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8D7945" w:rsidRPr="001B40A7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806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у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населения района исторической памяти;</w:t>
            </w:r>
          </w:p>
          <w:p w14:paraId="3F5CC37D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преемственности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поколений;</w:t>
            </w:r>
          </w:p>
          <w:p w14:paraId="64C46CE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отношение к людям старшего поколения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9383C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патриотическое воспитание молодёжи, формирование у молодых людей социальной ответственности;</w:t>
            </w:r>
          </w:p>
          <w:p w14:paraId="5C3284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ветеранам консультативных, культурно-досуговых услуг;</w:t>
            </w:r>
          </w:p>
          <w:p w14:paraId="19042AAE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улучшение работы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социальной поддержке ветеранов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E6014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жителей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031A03" w:rsidRPr="001B40A7" w14:paraId="466CECDB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BE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0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2F7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46FF60D3" w14:textId="77777777" w:rsidR="003338BA" w:rsidRPr="003338BA" w:rsidRDefault="003338BA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C29225" w14:textId="3C672B28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14:paraId="656D5474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14:paraId="2E4DDD21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поддержка и развитие социально ориентированных некоммерческих организаций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7C28FF8B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законом от 6 октября 2003 года №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отнесены к вопросам местного значения.</w:t>
      </w:r>
    </w:p>
    <w:p w14:paraId="4BE07F6A" w14:textId="77777777" w:rsidR="00031A03" w:rsidRPr="00031A03" w:rsidRDefault="001336A4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2E043E">
        <w:rPr>
          <w:rFonts w:ascii="Times New Roman" w:eastAsia="Times New Roman" w:hAnsi="Times New Roman" w:cs="Times New Roman"/>
          <w:sz w:val="28"/>
          <w:szCs w:val="28"/>
        </w:rPr>
        <w:t>ниципального района действуют 10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которые ведут работу с различными категориями граждан.</w:t>
      </w:r>
    </w:p>
    <w:p w14:paraId="7E84F286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14:paraId="4D5909E5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Слабыми сторонами развития некоммерческого сектора в муниципальном районе являются: </w:t>
      </w:r>
    </w:p>
    <w:p w14:paraId="6BDD82E9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гражданская активность населения;</w:t>
      </w:r>
    </w:p>
    <w:p w14:paraId="2BF413FD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развития отдельных видов общественной активности населения;</w:t>
      </w:r>
    </w:p>
    <w:p w14:paraId="4DAFA7C0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отсутствие системы эффективного взаимодействия органов местного </w:t>
      </w:r>
      <w:r w:rsidR="006C291A"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</w:t>
      </w: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населения;</w:t>
      </w:r>
    </w:p>
    <w:p w14:paraId="66C35E98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профессиональных и специальных знаний в области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14:paraId="7010D1FF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ограниченные ресурсы НКО – человеческие, финансовые, технические; </w:t>
      </w:r>
    </w:p>
    <w:p w14:paraId="5055093D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района.</w:t>
      </w:r>
    </w:p>
    <w:p w14:paraId="69504EB0" w14:textId="77777777" w:rsidR="00031A03" w:rsidRPr="00031A03" w:rsidRDefault="00031A03" w:rsidP="0003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финансовую, имущественную, информационную и консультативную поддержку инициатив</w:t>
      </w:r>
      <w:r w:rsidR="0090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</w:p>
    <w:p w14:paraId="48E7947F" w14:textId="77777777"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7738AED0" w14:textId="77777777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Цели и задачи Программы</w:t>
      </w:r>
    </w:p>
    <w:p w14:paraId="54976A3B" w14:textId="2D133792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поддержка и развитие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4FD33F43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Достижение цели возможно посредством решения следующих задач:</w:t>
      </w:r>
    </w:p>
    <w:p w14:paraId="762EC168" w14:textId="77777777" w:rsidR="00031A03" w:rsidRP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развитие механизмов финансовой, имущественной, информационной, консультационной поддержки НКО;</w:t>
      </w:r>
    </w:p>
    <w:p w14:paraId="7ABEAB56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постоянно действующей системы взаимодействия органов местного самоуправления и населения;</w:t>
      </w:r>
    </w:p>
    <w:p w14:paraId="7FC00C7B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14:paraId="05ABCFD6" w14:textId="77777777" w:rsid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благотворительной деятельности и добровольческого движения в муниципальном районе.</w:t>
      </w:r>
    </w:p>
    <w:p w14:paraId="2B50EFAD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79CC2" w14:textId="77777777" w:rsidR="00C41BF8" w:rsidRPr="00C41BF8" w:rsidRDefault="008D7945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4.Сроки реализации П</w:t>
      </w:r>
      <w:r w:rsidR="00C41BF8" w:rsidRPr="00C41BF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4E15A14E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A1D94" w14:textId="77777777" w:rsidR="00C41BF8" w:rsidRP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F8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202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AD945B" w14:textId="77777777" w:rsidR="00C41BF8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E211584" w14:textId="77777777" w:rsidR="00C41BF8" w:rsidRPr="00F55F1C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55F1C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643341B" w14:textId="77777777" w:rsidR="00C41BF8" w:rsidRPr="00F55F1C" w:rsidRDefault="00C41BF8" w:rsidP="006C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</w:t>
      </w:r>
      <w:proofErr w:type="spellStart"/>
      <w:r w:rsidRPr="00F55F1C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27B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5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2DC45" w14:textId="77777777" w:rsidR="00C41BF8" w:rsidRDefault="00C41BF8" w:rsidP="006C2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F1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79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F55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B6405" w14:textId="731B6A18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B28D3BC" w14:textId="0DFE861E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59E96A" w14:textId="684F4A88" w:rsid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7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24123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9824D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8B2B7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9A7F9" w14:textId="77777777" w:rsidR="00377897" w:rsidRPr="00377897" w:rsidRDefault="00377897" w:rsidP="006C2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Объемы ассигнований из бюджета </w:t>
      </w:r>
      <w:proofErr w:type="spellStart"/>
      <w:r w:rsidRPr="0037789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35E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уточнены, исходя из возможностей бюджета </w:t>
      </w:r>
      <w:proofErr w:type="spellStart"/>
      <w:r w:rsidRPr="0037789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623DEB2C" w14:textId="77777777" w:rsidR="00C41BF8" w:rsidRDefault="00C41BF8" w:rsidP="00C4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F084" w14:textId="77777777" w:rsidR="00031A03" w:rsidRPr="00031A03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6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Критерии эффективности реализации Программы</w:t>
      </w:r>
    </w:p>
    <w:p w14:paraId="06DEE9A0" w14:textId="77777777" w:rsidR="00C41BF8" w:rsidRDefault="00C41BF8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5415E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14:paraId="34998D5D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ожидается:</w:t>
      </w:r>
    </w:p>
    <w:p w14:paraId="01D0F6F1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увеличение числа НКО, имеющих статус юридического лица,</w:t>
      </w:r>
    </w:p>
    <w:p w14:paraId="489E19F9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проведенных в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общественных акций и мероприятий, </w:t>
      </w:r>
    </w:p>
    <w:p w14:paraId="7457358E" w14:textId="77777777" w:rsidR="00031A03" w:rsidRPr="003C5F53" w:rsidRDefault="00031A03" w:rsidP="006C291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благотворительной деятельности по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Турковскому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14:paraId="50AE8019" w14:textId="77777777" w:rsidR="006C291A" w:rsidRDefault="006C291A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50E21" w14:textId="77777777" w:rsidR="002E043E" w:rsidRDefault="00C41BF8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043E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</w:t>
      </w:r>
      <w:r w:rsidR="00F55F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2E043E" w:rsidRPr="002E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28D3F6" w14:textId="3A2E6869" w:rsidR="00FF4F25" w:rsidRPr="00FF4F25" w:rsidRDefault="00FF4F25" w:rsidP="006C291A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F25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2ABFA08" w14:textId="6B4B8B38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1.</w:t>
      </w:r>
      <w:r w:rsidR="006C291A" w:rsidRPr="006C291A">
        <w:rPr>
          <w:rFonts w:ascii="Times New Roman" w:hAnsi="Times New Roman" w:cs="Times New Roman"/>
          <w:sz w:val="28"/>
          <w:szCs w:val="28"/>
        </w:rPr>
        <w:t xml:space="preserve"> Сохранение у</w:t>
      </w:r>
      <w:r w:rsidRPr="006C291A">
        <w:rPr>
          <w:rFonts w:ascii="Times New Roman" w:hAnsi="Times New Roman" w:cs="Times New Roman"/>
          <w:sz w:val="28"/>
          <w:szCs w:val="28"/>
        </w:rPr>
        <w:t xml:space="preserve"> населения района исторической памяти;</w:t>
      </w:r>
    </w:p>
    <w:p w14:paraId="6AA3C9EA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2.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6C291A" w:rsidRPr="006C291A">
        <w:rPr>
          <w:rFonts w:ascii="Times New Roman" w:hAnsi="Times New Roman" w:cs="Times New Roman"/>
          <w:sz w:val="28"/>
          <w:szCs w:val="28"/>
        </w:rPr>
        <w:t>Сохранение преемственности</w:t>
      </w:r>
      <w:r w:rsidRPr="006C291A">
        <w:rPr>
          <w:rFonts w:ascii="Times New Roman" w:hAnsi="Times New Roman" w:cs="Times New Roman"/>
          <w:sz w:val="28"/>
          <w:szCs w:val="28"/>
        </w:rPr>
        <w:t xml:space="preserve"> поколений;</w:t>
      </w:r>
    </w:p>
    <w:p w14:paraId="2885FB03" w14:textId="3960BB72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3.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Воспитание уважительного отношение к людям старшего поколения</w:t>
      </w:r>
      <w:r w:rsidR="00FF4F25">
        <w:rPr>
          <w:rFonts w:ascii="Times New Roman" w:hAnsi="Times New Roman" w:cs="Times New Roman"/>
          <w:sz w:val="28"/>
          <w:szCs w:val="28"/>
        </w:rPr>
        <w:t>;</w:t>
      </w:r>
    </w:p>
    <w:p w14:paraId="36FB763C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4.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Патриотическое воспитание молодёжи, формирование у молодых людей социальной ответственности;</w:t>
      </w:r>
    </w:p>
    <w:p w14:paraId="67F3B4F6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5.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Создание условий для предоставления ветеранам консультативных, культурно-досуговых услуг;</w:t>
      </w:r>
    </w:p>
    <w:p w14:paraId="0B72210E" w14:textId="77777777" w:rsidR="00F55F1C" w:rsidRDefault="00900B73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6</w:t>
      </w:r>
      <w:r w:rsidR="00F55F1C" w:rsidRPr="006C291A">
        <w:rPr>
          <w:rFonts w:ascii="Times New Roman" w:hAnsi="Times New Roman" w:cs="Times New Roman"/>
          <w:sz w:val="28"/>
          <w:szCs w:val="28"/>
        </w:rPr>
        <w:t>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F55F1C" w:rsidRPr="006C291A">
        <w:rPr>
          <w:rFonts w:ascii="Times New Roman" w:hAnsi="Times New Roman" w:cs="Times New Roman"/>
          <w:sz w:val="28"/>
          <w:szCs w:val="28"/>
        </w:rPr>
        <w:t xml:space="preserve">Увеличение количества жителей </w:t>
      </w:r>
      <w:proofErr w:type="spellStart"/>
      <w:r w:rsidR="00F55F1C" w:rsidRPr="006C291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55F1C" w:rsidRPr="006C291A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</w:r>
    </w:p>
    <w:p w14:paraId="346AC7D7" w14:textId="77777777" w:rsidR="00C35F5F" w:rsidRPr="006C291A" w:rsidRDefault="00C35F5F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14DF5" w14:textId="77777777" w:rsidR="00F55F1C" w:rsidRPr="00C41BF8" w:rsidRDefault="00C41BF8" w:rsidP="00C41B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F8">
        <w:rPr>
          <w:rFonts w:ascii="Times New Roman" w:hAnsi="Times New Roman" w:cs="Times New Roman"/>
          <w:b/>
          <w:sz w:val="28"/>
          <w:szCs w:val="28"/>
        </w:rPr>
        <w:t>8</w:t>
      </w:r>
      <w:r w:rsidR="00F55F1C" w:rsidRPr="00C41BF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14:paraId="1E989B74" w14:textId="77777777" w:rsidR="00C41BF8" w:rsidRDefault="00C41BF8" w:rsidP="00F55F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6E6" w14:textId="77777777" w:rsidR="00F55F1C" w:rsidRPr="00C35F5F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F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Pr="00C35F5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14:paraId="442E3384" w14:textId="77777777" w:rsidR="00F55F1C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Ход реализации Программы контролируется по предоставляемым некоммерческой организацией </w:t>
      </w:r>
      <w:r w:rsidR="00C35F5F" w:rsidRPr="00C35F5F">
        <w:rPr>
          <w:rFonts w:ascii="Times New Roman" w:eastAsia="Times New Roman" w:hAnsi="Times New Roman" w:cs="Times New Roman"/>
          <w:sz w:val="28"/>
          <w:szCs w:val="28"/>
        </w:rPr>
        <w:t>ежеквартальным отчетам</w:t>
      </w: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. Сведения об исполнении Программы направляются в администрацию </w:t>
      </w:r>
      <w:proofErr w:type="spellStart"/>
      <w:r w:rsidRPr="00C35F5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3B7B2040" w14:textId="77777777" w:rsidR="00F55F1C" w:rsidRPr="002E043E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55F1C" w:rsidRPr="002E043E" w:rsidSect="008409A4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14:paraId="7D911428" w14:textId="77777777" w:rsidR="00E12C03" w:rsidRPr="00031A03" w:rsidRDefault="00C35F5F" w:rsidP="00E12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Перечень программных мероприятий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>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района» на 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13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41BF4BBA" w14:textId="77777777" w:rsidR="00031A03" w:rsidRPr="00031A03" w:rsidRDefault="00031A03" w:rsidP="00031A0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4109"/>
        <w:gridCol w:w="2125"/>
        <w:gridCol w:w="2832"/>
        <w:gridCol w:w="856"/>
        <w:gridCol w:w="853"/>
        <w:gridCol w:w="853"/>
        <w:gridCol w:w="3259"/>
      </w:tblGrid>
      <w:tr w:rsidR="00572EA5" w:rsidRPr="00445AD7" w14:paraId="5A2BB2D9" w14:textId="77777777" w:rsidTr="00445AD7">
        <w:trPr>
          <w:trHeight w:val="133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8E886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8D413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5A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C6B7E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4B2AA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0132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7385A20B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65" w14:textId="50B22921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675A2" w14:textId="42E9D175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="00BF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C35F5F" w:rsidRPr="00445AD7" w14:paraId="2DF31CC1" w14:textId="77777777" w:rsidTr="00445AD7">
        <w:trPr>
          <w:trHeight w:val="8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9175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E6D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06A7E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2EB3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67B7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85E8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FBF78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911C2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5F" w:rsidRPr="00445AD7" w14:paraId="035523F1" w14:textId="77777777" w:rsidTr="00445AD7">
        <w:trPr>
          <w:trHeight w:val="86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3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15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03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00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0DA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78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08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B8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445AD7" w14:paraId="755135B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7F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AAB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  <w:r w:rsidR="00CC048C" w:rsidRPr="00445A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4BB715" w14:textId="77777777" w:rsidR="00635EDF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39BB8F39" w14:textId="77777777" w:rsidR="00635EDF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6B725B71" w14:textId="77777777" w:rsidR="00635EDF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D2AE0CF" w14:textId="77777777" w:rsidR="00572EA5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F2843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B9F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EF6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928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0BB0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356EBD57" w14:textId="77777777" w:rsidTr="00445AD7">
        <w:trPr>
          <w:trHeight w:val="23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6214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716A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воспитание, освещение в СМИ (круглые столы, встречи, проведение праздничных мероприятий, памятных дат, конкурсов.)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DD70C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185FA5ED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286D4247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029454B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82CF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445AD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445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A5406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3A48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964D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0E00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53BF10E9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BC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FC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 xml:space="preserve">Оказание информационной поддержки социально ориентированным некоммерческим организациям путем размещения информации </w:t>
            </w:r>
            <w:r w:rsidRPr="00445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их деятельности на официальном сайте органов местного самоуправления </w:t>
            </w:r>
            <w:proofErr w:type="spellStart"/>
            <w:r w:rsidRPr="00445AD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445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E328A7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</w:p>
          <w:p w14:paraId="579B7CD0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03101D52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C41798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0065E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1D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0C1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FE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1E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48A29AA3" w14:textId="77777777" w:rsidTr="00445AD7">
        <w:trPr>
          <w:trHeight w:val="1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455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AFA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A74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29A4619E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4F03F5FD" w14:textId="1FA0B355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80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5B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ACF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C46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3A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1068E51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5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9C5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048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B6B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9BA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6F3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2CD2" w:rsidRPr="00445AD7" w14:paraId="6226C39E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9DA" w14:textId="77777777" w:rsidR="004C2CD2" w:rsidRPr="00445AD7" w:rsidRDefault="004C2CD2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2C3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97C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</w:tbl>
    <w:p w14:paraId="042B81FB" w14:textId="77777777" w:rsidR="00031A03" w:rsidRPr="00031A03" w:rsidRDefault="00031A03" w:rsidP="00031A03">
      <w:pPr>
        <w:tabs>
          <w:tab w:val="left" w:pos="333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63E26" w14:textId="77777777" w:rsidR="00616ADE" w:rsidRDefault="00616ADE"/>
    <w:sectPr w:rsidR="00616ADE" w:rsidSect="00741A3B">
      <w:pgSz w:w="16838" w:h="11906" w:orient="landscape"/>
      <w:pgMar w:top="851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A5A"/>
    <w:multiLevelType w:val="hybridMultilevel"/>
    <w:tmpl w:val="AF0A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456FC"/>
    <w:multiLevelType w:val="hybridMultilevel"/>
    <w:tmpl w:val="8222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5"/>
    <w:rsid w:val="00022DFC"/>
    <w:rsid w:val="00031A03"/>
    <w:rsid w:val="00037C45"/>
    <w:rsid w:val="0008080F"/>
    <w:rsid w:val="000C1ED5"/>
    <w:rsid w:val="001006A2"/>
    <w:rsid w:val="00127B4E"/>
    <w:rsid w:val="001336A4"/>
    <w:rsid w:val="001A0D11"/>
    <w:rsid w:val="001B40A7"/>
    <w:rsid w:val="001F2850"/>
    <w:rsid w:val="00210B38"/>
    <w:rsid w:val="00225E41"/>
    <w:rsid w:val="002E043E"/>
    <w:rsid w:val="0031088B"/>
    <w:rsid w:val="003338BA"/>
    <w:rsid w:val="00350DEA"/>
    <w:rsid w:val="00377897"/>
    <w:rsid w:val="003B2B2E"/>
    <w:rsid w:val="003C5F53"/>
    <w:rsid w:val="003C6089"/>
    <w:rsid w:val="00432848"/>
    <w:rsid w:val="0043761E"/>
    <w:rsid w:val="00445AD7"/>
    <w:rsid w:val="00462433"/>
    <w:rsid w:val="004765A7"/>
    <w:rsid w:val="0049204B"/>
    <w:rsid w:val="004C2CD2"/>
    <w:rsid w:val="00541396"/>
    <w:rsid w:val="00544306"/>
    <w:rsid w:val="00572EA5"/>
    <w:rsid w:val="00616ADE"/>
    <w:rsid w:val="00635EDF"/>
    <w:rsid w:val="00673E65"/>
    <w:rsid w:val="006C291A"/>
    <w:rsid w:val="006E3287"/>
    <w:rsid w:val="00741A3B"/>
    <w:rsid w:val="007501E5"/>
    <w:rsid w:val="007537D3"/>
    <w:rsid w:val="0083751B"/>
    <w:rsid w:val="008409A4"/>
    <w:rsid w:val="00870799"/>
    <w:rsid w:val="008707A2"/>
    <w:rsid w:val="00870C15"/>
    <w:rsid w:val="008A5984"/>
    <w:rsid w:val="008B58AF"/>
    <w:rsid w:val="008D7945"/>
    <w:rsid w:val="008E60A6"/>
    <w:rsid w:val="00900B73"/>
    <w:rsid w:val="009203F6"/>
    <w:rsid w:val="009D5DAB"/>
    <w:rsid w:val="009E2488"/>
    <w:rsid w:val="009F1732"/>
    <w:rsid w:val="00A43A1C"/>
    <w:rsid w:val="00AD1E42"/>
    <w:rsid w:val="00BF3626"/>
    <w:rsid w:val="00C35F5F"/>
    <w:rsid w:val="00C41BF8"/>
    <w:rsid w:val="00CC048C"/>
    <w:rsid w:val="00E12C03"/>
    <w:rsid w:val="00E406FD"/>
    <w:rsid w:val="00E9279C"/>
    <w:rsid w:val="00E9713F"/>
    <w:rsid w:val="00EF4D79"/>
    <w:rsid w:val="00F55F1C"/>
    <w:rsid w:val="00F66B63"/>
    <w:rsid w:val="00F84D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AEhZClqy35qD6dRz7aDvPoxW3d2jJzR3RUufQNfiVlo=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jsH/uQtS86T0XIYMHZYTfDozi5rk3z0KLMLHPxAv+Zk=</DigestValue>
    </Reference>
  </SignedInfo>
  <SignatureValue>WgKFb1/Ep/wNW3pBhfNCiavkfUFIfa1POqgaOgtohbjG5FX2BnpPSdN7to7Jhtc0
dIEe9TtJbtq0w/tCq5E/0w==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x78SIDz2r2vnpv3LyBGawo5u4G249fYd54YzqKVcsQs=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W0SAOCtX+3RzMl+8bEr/sTmI4Hwn6RVMcmAId3h49c8=</DigestValue>
      </Reference>
      <Reference URI="/word/media/image1.jpeg?ContentType=image/jpeg">
        <DigestMethod Algorithm="http://www.w3.org/2001/04/xmldsig-more#gostr34112012-256"/>
        <DigestValue>OTkYFkMCNL5hEfqDSJpa5nOyD5MduqlWXn6CYdXRyvA=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8V6366Rjy6G5aGW2PTOEm86FJWrQb+dJAAzIerhI/WA=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6yftLbpblmcT8PiERcVNjOlvJpcLWgq7vkN7B/mAeIg=</DigestValue>
      </Reference>
      <Reference URI="/word/styles.xml?ContentType=application/vnd.openxmlformats-officedocument.wordprocessingml.styles+xml">
        <DigestMethod Algorithm="http://www.w3.org/2001/04/xmldsig-more#gostr34112012-256"/>
        <DigestValue>HvwGSfT8eJ5oFvHNNRZ4J7dV9HtdaIqppgpqhEYcy90=</DigestValue>
      </Reference>
      <Reference URI="/word/stylesWithEffects.xml?ContentType=application/vnd.ms-word.stylesWithEffects+xml">
        <DigestMethod Algorithm="http://www.w3.org/2001/04/xmldsig-more#gostr34112012-256"/>
        <DigestValue>Fxzk7KVEz5N3ZLv3nK6gAV11zrmWzisjiWvZYrhbcSo=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XDGSv/y/XIl4iicnbD96aKlND4nKCJ2oJzUWLTLF9ts=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2021-02-15T07:20:20Z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2021-02-15T07:20:20Z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E352-D310-46D7-81E6-A275A83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2021-02-09T11:35:00Z</cp:lastPrinted>
  <dcterms:created xsi:type="dcterms:W3CDTF">2021-02-09T09:23:00Z</dcterms:created>
  <dcterms:modified xsi:type="dcterms:W3CDTF">2021-02-09T11:46:00Z</dcterms:modified>
</cp:coreProperties>
</file>