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8B" w:rsidRDefault="0031088B" w:rsidP="00031A03">
      <w:pPr>
        <w:ind w:firstLine="180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031A03" w:rsidRPr="00031A03" w:rsidRDefault="00031A03" w:rsidP="00031A03">
      <w:pPr>
        <w:tabs>
          <w:tab w:val="left" w:pos="-180"/>
          <w:tab w:val="left" w:pos="0"/>
          <w:tab w:val="center" w:pos="46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031A03" w:rsidRDefault="00031A03" w:rsidP="00031A03">
      <w:pPr>
        <w:tabs>
          <w:tab w:val="left" w:pos="-180"/>
          <w:tab w:val="left" w:pos="0"/>
          <w:tab w:val="center" w:pos="46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3287" w:rsidRPr="006E3287" w:rsidTr="006E3287">
        <w:tc>
          <w:tcPr>
            <w:tcW w:w="4785" w:type="dxa"/>
          </w:tcPr>
          <w:p w:rsidR="006E3287" w:rsidRPr="006E3287" w:rsidRDefault="006E3287" w:rsidP="006E3287"/>
        </w:tc>
        <w:tc>
          <w:tcPr>
            <w:tcW w:w="4786" w:type="dxa"/>
          </w:tcPr>
          <w:p w:rsidR="006E3287" w:rsidRPr="006E3287" w:rsidRDefault="006E3287" w:rsidP="006E32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3287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6E3287" w:rsidRPr="006E3287" w:rsidRDefault="006E3287" w:rsidP="006E32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3287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Pr="006E3287">
              <w:rPr>
                <w:rFonts w:ascii="Times New Roman" w:hAnsi="Times New Roman"/>
                <w:b/>
                <w:sz w:val="28"/>
                <w:szCs w:val="28"/>
              </w:rPr>
              <w:t>Турковского</w:t>
            </w:r>
            <w:proofErr w:type="spellEnd"/>
            <w:r w:rsidRPr="006E328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6E3287" w:rsidRPr="006E3287" w:rsidRDefault="006E3287" w:rsidP="006E32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3287">
              <w:rPr>
                <w:rFonts w:ascii="Times New Roman" w:hAnsi="Times New Roman"/>
                <w:b/>
                <w:sz w:val="28"/>
                <w:szCs w:val="28"/>
              </w:rPr>
              <w:t>___________________</w:t>
            </w:r>
            <w:proofErr w:type="spellStart"/>
            <w:r w:rsidRPr="006E3287">
              <w:rPr>
                <w:rFonts w:ascii="Times New Roman" w:hAnsi="Times New Roman"/>
                <w:b/>
                <w:sz w:val="28"/>
                <w:szCs w:val="28"/>
              </w:rPr>
              <w:t>А.В.Никитин</w:t>
            </w:r>
            <w:proofErr w:type="spellEnd"/>
          </w:p>
          <w:p w:rsidR="006E3287" w:rsidRPr="006E3287" w:rsidRDefault="006E3287" w:rsidP="006E3287"/>
        </w:tc>
      </w:tr>
    </w:tbl>
    <w:p w:rsidR="006E3287" w:rsidRPr="006E3287" w:rsidRDefault="006E3287" w:rsidP="006E3287">
      <w:pPr>
        <w:rPr>
          <w:rFonts w:ascii="Calibri" w:eastAsia="Calibri" w:hAnsi="Calibri" w:cs="Times New Roman"/>
        </w:rPr>
      </w:pPr>
    </w:p>
    <w:p w:rsidR="006E3287" w:rsidRPr="006E3287" w:rsidRDefault="006E3287" w:rsidP="006E3287">
      <w:pPr>
        <w:tabs>
          <w:tab w:val="left" w:pos="365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287">
        <w:rPr>
          <w:rFonts w:ascii="Times New Roman" w:eastAsia="Calibri" w:hAnsi="Times New Roman" w:cs="Times New Roman"/>
          <w:b/>
          <w:sz w:val="28"/>
          <w:szCs w:val="28"/>
        </w:rPr>
        <w:t>ЛИСТ СОГЛАСОВАНИЯ</w:t>
      </w:r>
    </w:p>
    <w:p w:rsidR="006E3287" w:rsidRPr="006E3287" w:rsidRDefault="006E3287" w:rsidP="006E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6E3287" w:rsidRPr="00031A03" w:rsidRDefault="006E3287" w:rsidP="006E32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«Поддержка социально ориентированных некоммерческих организаций </w:t>
      </w:r>
      <w:proofErr w:type="spellStart"/>
      <w:r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  <w:proofErr w:type="spellEnd"/>
      <w:r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7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57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6E3287" w:rsidRPr="006E3287" w:rsidRDefault="006E3287" w:rsidP="006E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287" w:rsidRPr="006E3287" w:rsidRDefault="006E3287" w:rsidP="006E3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87" w:rsidRPr="006E3287" w:rsidRDefault="006E3287" w:rsidP="006E3287">
      <w:pPr>
        <w:tabs>
          <w:tab w:val="left" w:pos="365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2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4628"/>
        <w:gridCol w:w="2796"/>
      </w:tblGrid>
      <w:tr w:rsidR="006E3287" w:rsidRPr="006E3287" w:rsidTr="006E3287">
        <w:tc>
          <w:tcPr>
            <w:tcW w:w="2147" w:type="dxa"/>
          </w:tcPr>
          <w:p w:rsidR="006E3287" w:rsidRPr="006E3287" w:rsidRDefault="006E3287" w:rsidP="006E32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6E3287" w:rsidRPr="006E3287" w:rsidRDefault="006E3287" w:rsidP="006E3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287" w:rsidRPr="006E3287" w:rsidTr="006E3287">
        <w:tc>
          <w:tcPr>
            <w:tcW w:w="2147" w:type="dxa"/>
            <w:hideMark/>
          </w:tcPr>
          <w:p w:rsidR="006E3287" w:rsidRPr="006E3287" w:rsidRDefault="006E3287" w:rsidP="006E3287">
            <w:pPr>
              <w:rPr>
                <w:rFonts w:ascii="Times New Roman" w:hAnsi="Times New Roman"/>
                <w:sz w:val="28"/>
                <w:szCs w:val="28"/>
              </w:rPr>
            </w:pPr>
            <w:r w:rsidRPr="006E3287">
              <w:rPr>
                <w:rFonts w:ascii="Times New Roman" w:hAnsi="Times New Roman"/>
                <w:sz w:val="28"/>
                <w:szCs w:val="28"/>
              </w:rPr>
              <w:t>Исайкин С.П.</w:t>
            </w:r>
          </w:p>
        </w:tc>
        <w:tc>
          <w:tcPr>
            <w:tcW w:w="4628" w:type="dxa"/>
            <w:hideMark/>
          </w:tcPr>
          <w:p w:rsidR="006E3287" w:rsidRPr="006E3287" w:rsidRDefault="006E3287" w:rsidP="006E3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28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-  начальник управления образования администрации муниципального района</w:t>
            </w:r>
          </w:p>
        </w:tc>
        <w:tc>
          <w:tcPr>
            <w:tcW w:w="2796" w:type="dxa"/>
          </w:tcPr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287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287" w:rsidRPr="006E3287" w:rsidTr="006E3287">
        <w:tc>
          <w:tcPr>
            <w:tcW w:w="2147" w:type="dxa"/>
            <w:hideMark/>
          </w:tcPr>
          <w:p w:rsidR="006E3287" w:rsidRPr="006E3287" w:rsidRDefault="006E3287" w:rsidP="006E3287">
            <w:pPr>
              <w:rPr>
                <w:rFonts w:ascii="Times New Roman" w:hAnsi="Times New Roman"/>
                <w:sz w:val="28"/>
                <w:szCs w:val="28"/>
              </w:rPr>
            </w:pPr>
            <w:r w:rsidRPr="006E3287">
              <w:rPr>
                <w:rFonts w:ascii="Times New Roman" w:hAnsi="Times New Roman"/>
                <w:sz w:val="28"/>
                <w:szCs w:val="28"/>
              </w:rPr>
              <w:t>Губина В.В.</w:t>
            </w:r>
          </w:p>
        </w:tc>
        <w:tc>
          <w:tcPr>
            <w:tcW w:w="4628" w:type="dxa"/>
          </w:tcPr>
          <w:tbl>
            <w:tblPr>
              <w:tblStyle w:val="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2"/>
            </w:tblGrid>
            <w:tr w:rsidR="006E3287" w:rsidRPr="006E3287">
              <w:tc>
                <w:tcPr>
                  <w:tcW w:w="4412" w:type="dxa"/>
                  <w:hideMark/>
                </w:tcPr>
                <w:p w:rsidR="006E3287" w:rsidRPr="006E3287" w:rsidRDefault="006E3287" w:rsidP="006E328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328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администрации - начальник финансового управления администрации муниципального района</w:t>
                  </w:r>
                </w:p>
              </w:tc>
            </w:tr>
          </w:tbl>
          <w:p w:rsidR="006E3287" w:rsidRPr="006E3287" w:rsidRDefault="006E3287" w:rsidP="006E3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7"/>
            </w:tblGrid>
            <w:tr w:rsidR="006E3287" w:rsidRPr="006E3287">
              <w:tc>
                <w:tcPr>
                  <w:tcW w:w="1097" w:type="dxa"/>
                </w:tcPr>
                <w:p w:rsidR="006E3287" w:rsidRPr="006E3287" w:rsidRDefault="006E3287" w:rsidP="006E32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E3287" w:rsidRPr="006E3287" w:rsidRDefault="006E3287" w:rsidP="006E3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rPr>
                <w:rFonts w:ascii="Times New Roman" w:hAnsi="Times New Roman"/>
                <w:sz w:val="28"/>
                <w:szCs w:val="28"/>
              </w:rPr>
            </w:pPr>
            <w:r w:rsidRPr="006E3287"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</w:tc>
      </w:tr>
      <w:tr w:rsidR="006E3287" w:rsidRPr="006E3287" w:rsidTr="006E3287">
        <w:tc>
          <w:tcPr>
            <w:tcW w:w="2147" w:type="dxa"/>
            <w:hideMark/>
          </w:tcPr>
          <w:p w:rsidR="006E3287" w:rsidRPr="006E3287" w:rsidRDefault="006E3287" w:rsidP="006E32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287">
              <w:rPr>
                <w:rFonts w:ascii="Times New Roman" w:hAnsi="Times New Roman"/>
                <w:sz w:val="28"/>
                <w:szCs w:val="28"/>
              </w:rPr>
              <w:t>А.С.Аверьянова</w:t>
            </w:r>
            <w:proofErr w:type="spellEnd"/>
          </w:p>
        </w:tc>
        <w:tc>
          <w:tcPr>
            <w:tcW w:w="4628" w:type="dxa"/>
            <w:hideMark/>
          </w:tcPr>
          <w:p w:rsidR="006E3287" w:rsidRPr="006E3287" w:rsidRDefault="006E3287" w:rsidP="006E3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287">
              <w:rPr>
                <w:rFonts w:ascii="Times New Roman" w:hAnsi="Times New Roman"/>
                <w:sz w:val="28"/>
                <w:szCs w:val="28"/>
              </w:rPr>
              <w:t>начальник отдела экономики и муниципального заказа администрации муниципального района</w:t>
            </w:r>
          </w:p>
        </w:tc>
        <w:tc>
          <w:tcPr>
            <w:tcW w:w="2796" w:type="dxa"/>
          </w:tcPr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287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287" w:rsidRPr="006E3287" w:rsidTr="006E3287">
        <w:tc>
          <w:tcPr>
            <w:tcW w:w="2147" w:type="dxa"/>
          </w:tcPr>
          <w:p w:rsidR="006E3287" w:rsidRPr="006E3287" w:rsidRDefault="006E3287" w:rsidP="006E32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287">
              <w:rPr>
                <w:rFonts w:ascii="Times New Roman" w:hAnsi="Times New Roman"/>
                <w:sz w:val="28"/>
                <w:szCs w:val="28"/>
              </w:rPr>
              <w:t>А.В.Беляков</w:t>
            </w:r>
            <w:proofErr w:type="spellEnd"/>
          </w:p>
          <w:p w:rsidR="006E3287" w:rsidRPr="006E3287" w:rsidRDefault="006E3287" w:rsidP="006E32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rPr>
                <w:rFonts w:ascii="Times New Roman" w:hAnsi="Times New Roman"/>
                <w:sz w:val="28"/>
                <w:szCs w:val="28"/>
              </w:rPr>
            </w:pPr>
            <w:r w:rsidRPr="006E3287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6E3287">
              <w:rPr>
                <w:rFonts w:ascii="Times New Roman" w:hAnsi="Times New Roman"/>
                <w:sz w:val="28"/>
                <w:szCs w:val="28"/>
              </w:rPr>
              <w:t>Читаидзе</w:t>
            </w:r>
            <w:proofErr w:type="spellEnd"/>
          </w:p>
        </w:tc>
        <w:tc>
          <w:tcPr>
            <w:tcW w:w="4628" w:type="dxa"/>
          </w:tcPr>
          <w:p w:rsidR="006E3287" w:rsidRPr="006E3287" w:rsidRDefault="006E3287" w:rsidP="006E3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287">
              <w:rPr>
                <w:rFonts w:ascii="Times New Roman" w:hAnsi="Times New Roman"/>
                <w:sz w:val="28"/>
                <w:szCs w:val="28"/>
              </w:rPr>
              <w:t>консультант отдела организационной, правовой и кадровой работы администрации муниципального района</w:t>
            </w:r>
          </w:p>
          <w:p w:rsidR="006E3287" w:rsidRPr="006E3287" w:rsidRDefault="006E3287" w:rsidP="006E3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287">
              <w:rPr>
                <w:rFonts w:ascii="Times New Roman" w:hAnsi="Times New Roman"/>
                <w:sz w:val="28"/>
                <w:szCs w:val="28"/>
              </w:rPr>
              <w:t>консультант по общественным отношениям администрации муниципального района</w:t>
            </w:r>
          </w:p>
        </w:tc>
        <w:tc>
          <w:tcPr>
            <w:tcW w:w="2796" w:type="dxa"/>
          </w:tcPr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287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287" w:rsidRPr="006E3287" w:rsidRDefault="006E3287" w:rsidP="006E3287">
            <w:pPr>
              <w:rPr>
                <w:rFonts w:ascii="Times New Roman" w:hAnsi="Times New Roman"/>
                <w:sz w:val="28"/>
                <w:szCs w:val="28"/>
              </w:rPr>
            </w:pPr>
            <w:r w:rsidRPr="006E3287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</w:tbl>
    <w:p w:rsidR="006E3287" w:rsidRPr="006E3287" w:rsidRDefault="006E3287" w:rsidP="006E3287">
      <w:pPr>
        <w:rPr>
          <w:rFonts w:ascii="Calibri" w:eastAsia="Calibri" w:hAnsi="Calibri" w:cs="Times New Roman"/>
        </w:rPr>
      </w:pPr>
    </w:p>
    <w:p w:rsidR="006E3287" w:rsidRPr="006E3287" w:rsidRDefault="006E3287" w:rsidP="006E3287">
      <w:pPr>
        <w:rPr>
          <w:rFonts w:ascii="Calibri" w:eastAsia="Calibri" w:hAnsi="Calibri" w:cs="Times New Roman"/>
        </w:rPr>
      </w:pPr>
    </w:p>
    <w:p w:rsidR="006E3287" w:rsidRPr="006E3287" w:rsidRDefault="006E3287" w:rsidP="006E3287">
      <w:pPr>
        <w:rPr>
          <w:rFonts w:ascii="Calibri" w:eastAsia="Calibri" w:hAnsi="Calibri" w:cs="Times New Roman"/>
        </w:rPr>
      </w:pPr>
    </w:p>
    <w:p w:rsidR="00031A03" w:rsidRPr="00031A03" w:rsidRDefault="00031A03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МУНИЦИПАЛЬНАЯ ПРОГРАММА</w:t>
      </w:r>
    </w:p>
    <w:p w:rsidR="00031A03" w:rsidRPr="00031A03" w:rsidRDefault="00031A03" w:rsidP="00031A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«Поддержка социально ориентированных некоммерческих организаций </w:t>
      </w:r>
      <w:proofErr w:type="spellStart"/>
      <w:r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  <w:proofErr w:type="spellEnd"/>
      <w:r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 на 201</w:t>
      </w:r>
      <w:r w:rsidR="007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7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-2021</w:t>
      </w:r>
      <w:r w:rsidR="00F8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57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bookmarkStart w:id="0" w:name="_GoBack"/>
      <w:bookmarkEnd w:id="0"/>
    </w:p>
    <w:p w:rsidR="00031A03" w:rsidRPr="00031A03" w:rsidRDefault="00031A03" w:rsidP="00031A03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031A03" w:rsidRPr="00031A03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031A03" w:rsidP="0003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031A03" w:rsidP="0003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«Поддержка социально ориентированных некоммерческих организаций </w:t>
            </w:r>
            <w:proofErr w:type="spellStart"/>
            <w:r w:rsidRPr="00031A03">
              <w:rPr>
                <w:rFonts w:ascii="Times New Roman" w:hAnsi="Times New Roman"/>
                <w:sz w:val="28"/>
                <w:szCs w:val="28"/>
              </w:rPr>
              <w:t>Турковског</w:t>
            </w:r>
            <w:r w:rsidR="007501E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7501E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 на 2019</w:t>
            </w:r>
            <w:r w:rsidR="00572EA5">
              <w:rPr>
                <w:rFonts w:ascii="Times New Roman" w:hAnsi="Times New Roman"/>
                <w:sz w:val="28"/>
                <w:szCs w:val="28"/>
              </w:rPr>
              <w:t>-2021</w:t>
            </w:r>
            <w:r w:rsidRPr="00031A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72EA5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31A03" w:rsidRPr="00031A03" w:rsidRDefault="00031A03" w:rsidP="0003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031A03" w:rsidRPr="00031A03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031A03" w:rsidP="0003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031A03" w:rsidP="0003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31A03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031A0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31A03" w:rsidRPr="00031A03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031A03" w:rsidP="0003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031A03" w:rsidP="0003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31A03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031A0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31A03" w:rsidRPr="00031A03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031A03" w:rsidP="0003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031A03" w:rsidP="0003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31A03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031A0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31A03" w:rsidRPr="00031A03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031A03" w:rsidP="0003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3" w:rsidRPr="00031A03" w:rsidRDefault="00031A03" w:rsidP="0003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Цель: поддержка и развитие социально ориентированных некоммерческих организаций,</w:t>
            </w:r>
            <w:r w:rsidRPr="00031A0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осуществляющих свою деятельность на территории </w:t>
            </w:r>
            <w:proofErr w:type="spellStart"/>
            <w:r w:rsidRPr="00031A03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031A0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031A0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по социальной поддержке ветеранов и ведущих работу по патриотическому воспитанию молодежи</w:t>
            </w:r>
            <w:r w:rsidRPr="00031A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1A03" w:rsidRPr="00031A03" w:rsidRDefault="00031A03" w:rsidP="0003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Для достижения поставленной цели необходимо решить следующие задачи:</w:t>
            </w:r>
          </w:p>
          <w:p w:rsidR="00031A03" w:rsidRPr="00031A03" w:rsidRDefault="00031A03" w:rsidP="00031A03">
            <w:pPr>
              <w:numPr>
                <w:ilvl w:val="0"/>
                <w:numId w:val="2"/>
              </w:numPr>
              <w:tabs>
                <w:tab w:val="num" w:pos="317"/>
              </w:tabs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координация работы по обследованию условий жизни ветеранов ВОВ и труда; выявление нуждаемости пенсионеров в различных видах социальной помощи;</w:t>
            </w:r>
          </w:p>
          <w:p w:rsidR="00031A03" w:rsidRPr="00031A03" w:rsidRDefault="00031A03" w:rsidP="00031A03">
            <w:pPr>
              <w:numPr>
                <w:ilvl w:val="0"/>
                <w:numId w:val="2"/>
              </w:numPr>
              <w:tabs>
                <w:tab w:val="num" w:pos="317"/>
              </w:tabs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оказанию адресной конкретной помощи каждому нуждающемуся пенсионеру; </w:t>
            </w:r>
          </w:p>
          <w:p w:rsidR="00031A03" w:rsidRPr="00031A03" w:rsidRDefault="00031A03" w:rsidP="00031A03">
            <w:pPr>
              <w:numPr>
                <w:ilvl w:val="0"/>
                <w:numId w:val="2"/>
              </w:numPr>
              <w:tabs>
                <w:tab w:val="num" w:pos="317"/>
              </w:tabs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привлечение членов НКО к работе по обеспечению досуга граждан пожилого возраста и юридической грамотности;</w:t>
            </w:r>
          </w:p>
          <w:p w:rsidR="00031A03" w:rsidRPr="00031A03" w:rsidRDefault="00031A03" w:rsidP="00031A03">
            <w:pPr>
              <w:numPr>
                <w:ilvl w:val="0"/>
                <w:numId w:val="2"/>
              </w:numPr>
              <w:tabs>
                <w:tab w:val="num" w:pos="317"/>
              </w:tabs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вовлечение ветеранов в проведение мероприятий, нацеленных на гражданско-патриотическое воспитание подрастающего поколения </w:t>
            </w:r>
          </w:p>
          <w:p w:rsidR="00031A03" w:rsidRPr="00031A03" w:rsidRDefault="00031A03" w:rsidP="00031A03">
            <w:pPr>
              <w:numPr>
                <w:ilvl w:val="0"/>
                <w:numId w:val="2"/>
              </w:numPr>
              <w:tabs>
                <w:tab w:val="num" w:pos="317"/>
              </w:tabs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увеличение количества ветеранов в работе с молодежью района, привлечение ветеранов для оказания профессиональной помощи молодым специалистам;</w:t>
            </w:r>
          </w:p>
          <w:p w:rsidR="00031A03" w:rsidRPr="00031A03" w:rsidRDefault="00031A03" w:rsidP="00031A03">
            <w:pPr>
              <w:numPr>
                <w:ilvl w:val="0"/>
                <w:numId w:val="2"/>
              </w:numPr>
              <w:tabs>
                <w:tab w:val="num" w:pos="317"/>
              </w:tabs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установление связей с районными советами ветеранов, первичными ветеранскими.</w:t>
            </w:r>
          </w:p>
          <w:p w:rsidR="00031A03" w:rsidRPr="00031A03" w:rsidRDefault="00031A03" w:rsidP="00031A03">
            <w:p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A03" w:rsidRPr="00031A03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031A03" w:rsidP="0003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7501E5" w:rsidP="00F84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572EA5">
              <w:rPr>
                <w:rFonts w:ascii="Times New Roman" w:hAnsi="Times New Roman"/>
                <w:sz w:val="28"/>
                <w:szCs w:val="28"/>
              </w:rPr>
              <w:t>-2021</w:t>
            </w:r>
            <w:r w:rsidR="00F84D7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72EA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031A03" w:rsidRPr="00031A03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031A03" w:rsidP="00031A03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Default="00031A03" w:rsidP="00741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финансирования: средства бюджета </w:t>
            </w:r>
            <w:proofErr w:type="spellStart"/>
            <w:r w:rsidRPr="00031A03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031A0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2E043E">
              <w:rPr>
                <w:rFonts w:ascii="Times New Roman" w:hAnsi="Times New Roman"/>
                <w:sz w:val="28"/>
                <w:szCs w:val="28"/>
              </w:rPr>
              <w:t>.</w:t>
            </w:r>
            <w:r w:rsidR="002E043E" w:rsidRPr="00031A03">
              <w:rPr>
                <w:rFonts w:ascii="Times New Roman" w:hAnsi="Times New Roman"/>
                <w:sz w:val="28"/>
                <w:szCs w:val="28"/>
              </w:rPr>
              <w:t xml:space="preserve"> Общий объем  финансирования Программы составляет </w:t>
            </w:r>
            <w:r w:rsidR="00F84D75">
              <w:rPr>
                <w:rFonts w:ascii="Times New Roman" w:hAnsi="Times New Roman"/>
                <w:sz w:val="28"/>
                <w:szCs w:val="28"/>
              </w:rPr>
              <w:t>60,0</w:t>
            </w:r>
            <w:r w:rsidR="002E043E" w:rsidRPr="00031A03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2E043E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2E043E" w:rsidRPr="00031A03" w:rsidRDefault="002E043E" w:rsidP="00F84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A03" w:rsidRPr="00031A03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031A03" w:rsidP="00031A03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  <w:r w:rsidRPr="00031A03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031A03" w:rsidP="00031A03">
            <w:pPr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lastRenderedPageBreak/>
              <w:t>сохранение  у населения района исторической памяти;</w:t>
            </w:r>
          </w:p>
          <w:p w:rsidR="00031A03" w:rsidRPr="00031A03" w:rsidRDefault="00031A03" w:rsidP="00031A03">
            <w:pPr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сохранение  преемственности поколений;</w:t>
            </w:r>
          </w:p>
          <w:p w:rsidR="00031A03" w:rsidRPr="00031A03" w:rsidRDefault="00031A03" w:rsidP="00031A03">
            <w:pPr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воспитание уважительного отношение к людям старшего </w:t>
            </w:r>
            <w:r w:rsidRPr="00031A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поколения </w:t>
            </w:r>
          </w:p>
          <w:p w:rsidR="00031A03" w:rsidRPr="00031A03" w:rsidRDefault="00031A03" w:rsidP="00031A03">
            <w:pPr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патриотическое воспитание молодёжи, формирование у молодых людей социальной ответственности;</w:t>
            </w:r>
          </w:p>
          <w:p w:rsidR="00031A03" w:rsidRPr="00031A03" w:rsidRDefault="00031A03" w:rsidP="00031A03">
            <w:pPr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создание условий для предоставления ветеранам консультативных, культурно-досуговых услуг;</w:t>
            </w:r>
          </w:p>
          <w:p w:rsidR="00031A03" w:rsidRPr="00031A03" w:rsidRDefault="00031A03" w:rsidP="00031A03">
            <w:pPr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улучшение работы социально ориентированных некоммерческих организаций, осуществляющих свою деятельность на территории </w:t>
            </w:r>
            <w:proofErr w:type="spellStart"/>
            <w:r w:rsidRPr="00031A03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031A0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социальной поддержке ветеранов</w:t>
            </w:r>
          </w:p>
          <w:p w:rsidR="00031A03" w:rsidRPr="00031A03" w:rsidRDefault="00031A03" w:rsidP="00031A03">
            <w:pPr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жителей </w:t>
            </w:r>
            <w:proofErr w:type="spellStart"/>
            <w:r w:rsidRPr="00031A03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031A0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принявших участие в социально значимых мероприятиях и как следствие повышение качества жизни людей пожилого возраста.</w:t>
            </w:r>
          </w:p>
        </w:tc>
      </w:tr>
      <w:tr w:rsidR="00031A03" w:rsidRPr="00031A03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031A03" w:rsidP="0003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1A03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031A03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031A03" w:rsidRDefault="00031A03" w:rsidP="00031A0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31A03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031A0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031A03" w:rsidRPr="00031A03" w:rsidRDefault="00031A03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A03" w:rsidRPr="00031A03" w:rsidRDefault="00031A03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проблемы и обоснование необходимости ее решения программными методами</w:t>
      </w:r>
    </w:p>
    <w:p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поддержка и развитие социально ориентированных некоммерческих организаций на территории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N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отнесены к вопросам местного значения.</w:t>
      </w:r>
    </w:p>
    <w:p w:rsidR="00031A03" w:rsidRPr="00031A03" w:rsidRDefault="007501E5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2018</w:t>
      </w:r>
      <w:r w:rsidR="00031A03"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proofErr w:type="spellStart"/>
      <w:r w:rsidR="00031A03"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031A03"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2E0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действуют 10</w:t>
      </w:r>
      <w:r w:rsidR="00031A03"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некоммерческих организаций, которые ведут работу с различными категориями граждан.</w:t>
      </w:r>
    </w:p>
    <w:p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значительного количества общественных объединений, остается вопрос качества работы НКО. На сегодняшний день их деятельность затрагивает крайне узкий круг вопросов социального характера и потенциал гражданских инициатив нельзя назвать реализованным. </w:t>
      </w:r>
    </w:p>
    <w:p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Слабыми сторонами развития некоммерческого сектора в муниципальном районе являются: </w:t>
      </w:r>
    </w:p>
    <w:p w:rsidR="00031A03" w:rsidRPr="00031A03" w:rsidRDefault="00031A03" w:rsidP="00031A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гражданская активность населения;</w:t>
      </w:r>
    </w:p>
    <w:p w:rsidR="00031A03" w:rsidRPr="00031A03" w:rsidRDefault="00031A03" w:rsidP="00031A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неравномерность развития отдельных видов общественной активности населения;</w:t>
      </w:r>
    </w:p>
    <w:p w:rsidR="00031A03" w:rsidRPr="00031A03" w:rsidRDefault="00031A03" w:rsidP="00031A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системы эффективного взаимодействия органов местного самоуправления  и населения;</w:t>
      </w:r>
    </w:p>
    <w:p w:rsidR="00031A03" w:rsidRPr="00031A03" w:rsidRDefault="00031A03" w:rsidP="00031A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нехватка профессиональных и специальных знаний в области делопроизводства у руководителей НКО и, как следствие, отсутствие </w:t>
      </w: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системности в их деятельности, низкий уровень планирования и неумение применять программный подход в своей деятельности;</w:t>
      </w:r>
    </w:p>
    <w:p w:rsidR="00031A03" w:rsidRPr="00031A03" w:rsidRDefault="00031A03" w:rsidP="00031A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ограниченные ресурсы НКО – человеческие, финансовые, технические; </w:t>
      </w:r>
    </w:p>
    <w:p w:rsidR="00031A03" w:rsidRPr="00031A03" w:rsidRDefault="00031A03" w:rsidP="00031A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разобщенность организаций, отсутствие налаженных внутренних контактов на уровне муниципального района.</w:t>
      </w:r>
    </w:p>
    <w:p w:rsidR="00031A03" w:rsidRPr="00031A03" w:rsidRDefault="00031A03" w:rsidP="00031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финансовую, имущественную, информационную и консультативную поддержку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инициативсоциально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ориентированным некоммерческим организациям. Исходя из  вышеперечисленного, одной их задач органов местного самоуправления должно стать создание условий для развития социально ориентированных некоммерческих организаций. Поэтому целесообразно решать данную проблему программно-целевым методом.</w:t>
      </w:r>
    </w:p>
    <w:p w:rsidR="00031A03" w:rsidRPr="00031A03" w:rsidRDefault="00031A03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31A03" w:rsidRPr="00031A03" w:rsidRDefault="00031A03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III</w:t>
      </w:r>
      <w:r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Цели и задачи Программы</w:t>
      </w:r>
    </w:p>
    <w:p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 поддержка  и развитие деятельности социально ориентированных некоммерческих организаций, осуществляющих свою деятельность на территории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Достижение цели возможно посредством решения следующих задач:</w:t>
      </w:r>
    </w:p>
    <w:p w:rsidR="00031A03" w:rsidRPr="00031A03" w:rsidRDefault="00031A03" w:rsidP="00031A03">
      <w:pPr>
        <w:numPr>
          <w:ilvl w:val="0"/>
          <w:numId w:val="5"/>
        </w:num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механизмов финансовой, имущественной, информационной, консультационной поддержки НКО;</w:t>
      </w:r>
    </w:p>
    <w:p w:rsidR="00031A03" w:rsidRPr="00031A03" w:rsidRDefault="00031A03" w:rsidP="00031A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постоянно действующей системы взаимодействия органов местного самоуправления и населения;</w:t>
      </w:r>
    </w:p>
    <w:p w:rsidR="00031A03" w:rsidRPr="00031A03" w:rsidRDefault="00031A03" w:rsidP="00031A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благоприятной среды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31A03" w:rsidRPr="00031A03" w:rsidRDefault="00031A03" w:rsidP="00031A03">
      <w:pPr>
        <w:numPr>
          <w:ilvl w:val="0"/>
          <w:numId w:val="5"/>
        </w:num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стимулирование благотворительной деятельности и добровольческого движения в муниципальном районе.</w:t>
      </w:r>
    </w:p>
    <w:p w:rsidR="00031A03" w:rsidRPr="00031A03" w:rsidRDefault="00031A03" w:rsidP="00031A03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31A03" w:rsidRPr="00031A03" w:rsidRDefault="00031A03" w:rsidP="00031A03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IV</w:t>
      </w:r>
      <w:r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Критерии эффективности реализации Программы</w:t>
      </w:r>
    </w:p>
    <w:p w:rsidR="00031A03" w:rsidRPr="00031A03" w:rsidRDefault="00031A03" w:rsidP="00031A03">
      <w:pPr>
        <w:tabs>
          <w:tab w:val="left" w:pos="292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:rsidR="00031A03" w:rsidRPr="00031A03" w:rsidRDefault="00031A03" w:rsidP="00031A03">
      <w:pPr>
        <w:tabs>
          <w:tab w:val="left" w:pos="292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ожидается:</w:t>
      </w:r>
    </w:p>
    <w:p w:rsidR="00031A03" w:rsidRPr="00031A03" w:rsidRDefault="00031A03" w:rsidP="00031A03">
      <w:pPr>
        <w:numPr>
          <w:ilvl w:val="0"/>
          <w:numId w:val="5"/>
        </w:numPr>
        <w:tabs>
          <w:tab w:val="left" w:pos="-1134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НКО, имеющих статус юридического лица,</w:t>
      </w:r>
    </w:p>
    <w:p w:rsidR="00031A03" w:rsidRPr="00031A03" w:rsidRDefault="00031A03" w:rsidP="00031A03">
      <w:pPr>
        <w:numPr>
          <w:ilvl w:val="0"/>
          <w:numId w:val="5"/>
        </w:numPr>
        <w:tabs>
          <w:tab w:val="left" w:pos="-1134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проведенных в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Турковском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общественных акций и мероприятий, </w:t>
      </w:r>
    </w:p>
    <w:p w:rsidR="00031A03" w:rsidRPr="003C5F53" w:rsidRDefault="00031A03" w:rsidP="003C5F53">
      <w:pPr>
        <w:numPr>
          <w:ilvl w:val="0"/>
          <w:numId w:val="5"/>
        </w:numPr>
        <w:spacing w:after="0" w:line="240" w:lineRule="auto"/>
        <w:ind w:left="249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объема благотворительной деятельности по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Турковскому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району.</w:t>
      </w:r>
    </w:p>
    <w:p w:rsidR="00741A3B" w:rsidRDefault="002E043E" w:rsidP="002E043E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E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</w:p>
    <w:p w:rsidR="002E043E" w:rsidRPr="002E043E" w:rsidRDefault="002E043E" w:rsidP="002E043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E0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Прогр</w:t>
      </w:r>
      <w:r w:rsidR="00750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аммы </w:t>
      </w:r>
      <w:r w:rsidR="00F84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будет осуществляться в 2019</w:t>
      </w:r>
      <w:r w:rsidR="00572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-2021 годах</w:t>
      </w:r>
      <w:r w:rsidRPr="002E0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E04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2E043E" w:rsidRPr="002E043E" w:rsidRDefault="007501E5" w:rsidP="00F84D7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E043E" w:rsidRPr="002E043E" w:rsidRDefault="002E043E" w:rsidP="002E043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0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2E043E" w:rsidRDefault="002E043E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результаты</w:t>
      </w:r>
      <w:r w:rsidR="00F5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2E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5F1C" w:rsidRPr="00031A03" w:rsidRDefault="00F55F1C" w:rsidP="00F55F1C">
      <w:pPr>
        <w:tabs>
          <w:tab w:val="left" w:pos="317"/>
          <w:tab w:val="left" w:pos="601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</w:t>
      </w:r>
      <w:r w:rsidRPr="00031A03">
        <w:rPr>
          <w:rFonts w:ascii="Times New Roman" w:hAnsi="Times New Roman"/>
          <w:sz w:val="28"/>
          <w:szCs w:val="28"/>
        </w:rPr>
        <w:t>охранение  у населения района исторической памяти;</w:t>
      </w:r>
    </w:p>
    <w:p w:rsidR="00F55F1C" w:rsidRPr="00031A03" w:rsidRDefault="00F55F1C" w:rsidP="00F55F1C">
      <w:pPr>
        <w:tabs>
          <w:tab w:val="left" w:pos="317"/>
          <w:tab w:val="left" w:pos="601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</w:t>
      </w:r>
      <w:r w:rsidRPr="00031A03">
        <w:rPr>
          <w:rFonts w:ascii="Times New Roman" w:hAnsi="Times New Roman"/>
          <w:sz w:val="28"/>
          <w:szCs w:val="28"/>
        </w:rPr>
        <w:t>охранение  преемственности поколений;</w:t>
      </w:r>
    </w:p>
    <w:p w:rsidR="00F55F1C" w:rsidRPr="00031A03" w:rsidRDefault="00F55F1C" w:rsidP="00F55F1C">
      <w:pPr>
        <w:tabs>
          <w:tab w:val="left" w:pos="317"/>
          <w:tab w:val="left" w:pos="601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3.В</w:t>
      </w:r>
      <w:r w:rsidRPr="00031A03">
        <w:rPr>
          <w:rFonts w:ascii="Times New Roman" w:hAnsi="Times New Roman"/>
          <w:sz w:val="28"/>
          <w:szCs w:val="28"/>
        </w:rPr>
        <w:t xml:space="preserve">оспитание уважительного отношение к людям старшего поколения </w:t>
      </w:r>
    </w:p>
    <w:p w:rsidR="00F55F1C" w:rsidRPr="00031A03" w:rsidRDefault="00F55F1C" w:rsidP="00F55F1C">
      <w:pPr>
        <w:tabs>
          <w:tab w:val="left" w:pos="317"/>
          <w:tab w:val="left" w:pos="601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</w:t>
      </w:r>
      <w:r w:rsidRPr="00031A03">
        <w:rPr>
          <w:rFonts w:ascii="Times New Roman" w:hAnsi="Times New Roman"/>
          <w:sz w:val="28"/>
          <w:szCs w:val="28"/>
        </w:rPr>
        <w:t>атриотическое воспитание молодёжи, формирование у молодых людей социальной ответственности;</w:t>
      </w:r>
    </w:p>
    <w:p w:rsidR="00F55F1C" w:rsidRPr="00031A03" w:rsidRDefault="00F55F1C" w:rsidP="00F55F1C">
      <w:pPr>
        <w:tabs>
          <w:tab w:val="left" w:pos="317"/>
          <w:tab w:val="left" w:pos="601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</w:t>
      </w:r>
      <w:r w:rsidRPr="00031A03">
        <w:rPr>
          <w:rFonts w:ascii="Times New Roman" w:hAnsi="Times New Roman"/>
          <w:sz w:val="28"/>
          <w:szCs w:val="28"/>
        </w:rPr>
        <w:t>оздание условий для предоставления ветеранам консультативных, культурно-досуговых услуг;</w:t>
      </w:r>
    </w:p>
    <w:p w:rsidR="00F55F1C" w:rsidRPr="00031A03" w:rsidRDefault="00F55F1C" w:rsidP="00F55F1C">
      <w:pPr>
        <w:tabs>
          <w:tab w:val="left" w:pos="317"/>
          <w:tab w:val="left" w:pos="601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</w:t>
      </w:r>
      <w:r w:rsidRPr="00031A03">
        <w:rPr>
          <w:rFonts w:ascii="Times New Roman" w:hAnsi="Times New Roman"/>
          <w:sz w:val="28"/>
          <w:szCs w:val="28"/>
        </w:rPr>
        <w:t xml:space="preserve">лучшение работы социально ориентированных некоммерческих организаций, осуществляющих свою деятельность на территории </w:t>
      </w:r>
      <w:proofErr w:type="spellStart"/>
      <w:r w:rsidRPr="00031A0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031A03">
        <w:rPr>
          <w:rFonts w:ascii="Times New Roman" w:hAnsi="Times New Roman"/>
          <w:sz w:val="28"/>
          <w:szCs w:val="28"/>
        </w:rPr>
        <w:t xml:space="preserve"> муниципального района по социальной поддержке ветеранов</w:t>
      </w:r>
    </w:p>
    <w:p w:rsidR="00F55F1C" w:rsidRDefault="00F55F1C" w:rsidP="00F55F1C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</w:t>
      </w:r>
      <w:r w:rsidRPr="00031A03">
        <w:rPr>
          <w:rFonts w:ascii="Times New Roman" w:hAnsi="Times New Roman"/>
          <w:sz w:val="28"/>
          <w:szCs w:val="28"/>
        </w:rPr>
        <w:t xml:space="preserve">величение количества жителей </w:t>
      </w:r>
      <w:proofErr w:type="spellStart"/>
      <w:r w:rsidRPr="00031A0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031A03">
        <w:rPr>
          <w:rFonts w:ascii="Times New Roman" w:hAnsi="Times New Roman"/>
          <w:sz w:val="28"/>
          <w:szCs w:val="28"/>
        </w:rPr>
        <w:t xml:space="preserve"> муниципального района, принявших участие в социально значимых мероприятиях и как следствие повышение качества жизни людей пожилого возраста.</w:t>
      </w:r>
    </w:p>
    <w:p w:rsidR="00F55F1C" w:rsidRPr="00F55F1C" w:rsidRDefault="00F55F1C" w:rsidP="00F55F1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55F1C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55F1C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F55F1C" w:rsidRPr="00F55F1C" w:rsidRDefault="00F55F1C" w:rsidP="00F5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Реализация Программы осуществляется за счет средств бюджета </w:t>
      </w:r>
      <w:proofErr w:type="spellStart"/>
      <w:r w:rsidRPr="00F55F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F5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406FD" w:rsidRDefault="00F55F1C" w:rsidP="00F55F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объем финансирования Программы –</w:t>
      </w:r>
      <w:r w:rsidRPr="00F55F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</w:t>
      </w:r>
      <w:r w:rsidR="00F84D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</w:t>
      </w:r>
      <w:r w:rsidR="007501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Pr="00F55F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,0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рублей, в том числе:</w:t>
      </w:r>
      <w:r w:rsidRPr="00F5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55F1C" w:rsidRPr="002E043E" w:rsidRDefault="007501E5" w:rsidP="00F55F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2019</w:t>
      </w:r>
      <w:r w:rsidR="00F5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60</w:t>
      </w:r>
      <w:r w:rsidR="00F55F1C" w:rsidRPr="002E0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,0 тыс. руб.</w:t>
      </w:r>
      <w:r w:rsidR="00572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2020- 0 тыс. руб., 2021 – 0 </w:t>
      </w:r>
      <w:proofErr w:type="spellStart"/>
      <w:r w:rsidR="00572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="00572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="00572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="00572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55F1C" w:rsidRPr="002E043E" w:rsidRDefault="00F55F1C" w:rsidP="00F55F1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55F1C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VIII</w:t>
      </w:r>
      <w:r w:rsidRPr="00F55F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Управление реализацией Программы и контроль</w:t>
      </w:r>
    </w:p>
    <w:p w:rsidR="00F55F1C" w:rsidRPr="00F55F1C" w:rsidRDefault="00F55F1C" w:rsidP="00F55F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5F1C" w:rsidRPr="00F55F1C" w:rsidRDefault="00F55F1C" w:rsidP="00F55F1C">
      <w:pPr>
        <w:tabs>
          <w:tab w:val="left" w:pos="-284"/>
        </w:tabs>
        <w:spacing w:after="0" w:line="240" w:lineRule="auto"/>
        <w:ind w:left="-28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55F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F55F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VII. Механизм реализации Программы и организация контроля</w:t>
      </w:r>
    </w:p>
    <w:p w:rsidR="00F55F1C" w:rsidRDefault="00F55F1C" w:rsidP="00F55F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</w:t>
      </w:r>
      <w:proofErr w:type="gramStart"/>
      <w:r w:rsidRPr="00F55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администрация </w:t>
      </w:r>
      <w:proofErr w:type="spellStart"/>
      <w:r w:rsidRPr="00F55F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F5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F55F1C" w:rsidRPr="00F55F1C" w:rsidRDefault="00F55F1C" w:rsidP="00F55F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реализации Программы контролируется по предоставляем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некоммерческой организацией</w:t>
      </w:r>
      <w:r w:rsidRPr="00F5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квартальным </w:t>
      </w:r>
      <w:r w:rsidRPr="00F5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отчетам. Сведения об исполнении Программы направляются в администрацию </w:t>
      </w:r>
      <w:proofErr w:type="spellStart"/>
      <w:r w:rsidRPr="00F55F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F5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55F1C" w:rsidRPr="00F55F1C" w:rsidRDefault="00F55F1C" w:rsidP="00F55F1C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F1C" w:rsidRPr="00F55F1C" w:rsidRDefault="00F55F1C" w:rsidP="00F55F1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F1C" w:rsidRDefault="00F55F1C" w:rsidP="00F55F1C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F1C" w:rsidRDefault="00F55F1C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F1C" w:rsidRDefault="00F55F1C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F1C" w:rsidRDefault="00F55F1C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F1C" w:rsidRDefault="00F55F1C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F1C" w:rsidRPr="002E043E" w:rsidRDefault="00F55F1C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55F1C" w:rsidRPr="002E043E" w:rsidSect="0031088B">
          <w:pgSz w:w="11906" w:h="16838"/>
          <w:pgMar w:top="426" w:right="850" w:bottom="1134" w:left="993" w:header="709" w:footer="709" w:gutter="0"/>
          <w:cols w:space="708"/>
          <w:docGrid w:linePitch="360"/>
        </w:sectPr>
      </w:pPr>
    </w:p>
    <w:p w:rsidR="00E12C03" w:rsidRPr="00031A03" w:rsidRDefault="00031A03" w:rsidP="00E12C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программных мероприятий</w:t>
      </w:r>
      <w:r w:rsidR="00E1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</w:t>
      </w:r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«Поддержка социально ориентированных некоммерческих организаций </w:t>
      </w:r>
      <w:proofErr w:type="spellStart"/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  <w:proofErr w:type="spellEnd"/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 на </w:t>
      </w:r>
      <w:proofErr w:type="gramStart"/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8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1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proofErr w:type="gramEnd"/>
    </w:p>
    <w:p w:rsidR="00031A03" w:rsidRPr="00031A03" w:rsidRDefault="00031A03" w:rsidP="00031A0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2690"/>
        <w:gridCol w:w="2124"/>
        <w:gridCol w:w="4259"/>
        <w:gridCol w:w="747"/>
        <w:gridCol w:w="41"/>
        <w:gridCol w:w="62"/>
        <w:gridCol w:w="851"/>
        <w:gridCol w:w="65"/>
        <w:gridCol w:w="13"/>
        <w:gridCol w:w="772"/>
        <w:gridCol w:w="3261"/>
      </w:tblGrid>
      <w:tr w:rsidR="00572EA5" w:rsidRPr="00031A03" w:rsidTr="00AD12C0">
        <w:trPr>
          <w:trHeight w:val="133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2EA5" w:rsidRPr="00031A03" w:rsidRDefault="00572EA5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1A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31A0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572EA5" w:rsidRPr="00031A03" w:rsidRDefault="00572EA5" w:rsidP="00031A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2EA5" w:rsidRPr="00031A03" w:rsidRDefault="00572EA5" w:rsidP="00031A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2EA5" w:rsidRPr="00031A03" w:rsidRDefault="00572EA5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572EA5" w:rsidRPr="00031A03" w:rsidRDefault="00572EA5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Default="00572EA5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  <w:p w:rsidR="00572EA5" w:rsidRPr="00031A03" w:rsidRDefault="00572EA5" w:rsidP="00031A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Default="00572EA5" w:rsidP="00F84D75">
            <w:pPr>
              <w:spacing w:after="120"/>
              <w:ind w:left="3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  <w:p w:rsidR="00572EA5" w:rsidRPr="00031A03" w:rsidRDefault="00572EA5" w:rsidP="00F84D75">
            <w:pPr>
              <w:spacing w:after="120"/>
              <w:ind w:lef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2EA5" w:rsidRDefault="00572E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2EA5" w:rsidRPr="00031A03" w:rsidRDefault="00572EA5" w:rsidP="00F84D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EA5" w:rsidRPr="00031A03" w:rsidTr="00572EA5">
        <w:trPr>
          <w:trHeight w:val="82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EA5" w:rsidRPr="00031A03" w:rsidRDefault="00572EA5" w:rsidP="00031A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2EA5" w:rsidRDefault="00572EA5" w:rsidP="00031A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EA5" w:rsidRDefault="00572E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2EA5" w:rsidRDefault="00572EA5" w:rsidP="00572E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EA5" w:rsidRDefault="00572E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2EA5" w:rsidRDefault="00572EA5" w:rsidP="00572E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2EA5" w:rsidRPr="00031A03" w:rsidRDefault="00572EA5" w:rsidP="00F84D75">
            <w:pPr>
              <w:spacing w:after="120"/>
              <w:ind w:left="3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EA5" w:rsidRPr="00031A03" w:rsidTr="00572EA5">
        <w:trPr>
          <w:trHeight w:val="8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EA5" w:rsidRPr="00031A03" w:rsidTr="00572E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Размещение в средствах массовой информации и сети Интернет информации о ходе и результатах реализации 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EA5" w:rsidRDefault="00572EA5" w:rsidP="00741A3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72EA5" w:rsidRPr="00031A03" w:rsidRDefault="00572EA5" w:rsidP="00741A3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572EA5" w:rsidRPr="00031A03" w:rsidTr="00572EA5">
        <w:trPr>
          <w:trHeight w:val="3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патриотическое воспитание, освещение в СМИ (круглые столы, встречи, проведение праздничных мероприятий, памятных дат, конкурсов.)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EA5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72EA5" w:rsidRPr="00031A03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A0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031A0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Pr="00031A03" w:rsidRDefault="00572EA5" w:rsidP="00572EA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Pr="00031A03" w:rsidRDefault="00572EA5" w:rsidP="00572EA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572EA5" w:rsidRPr="00031A03" w:rsidTr="00572E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Оказание информационной поддержки социально ориентированным некоммерческим организациям путем размещения информации об их деятельности на официальном сайте органов местного самоуправления </w:t>
            </w:r>
            <w:proofErr w:type="spellStart"/>
            <w:r w:rsidRPr="00031A03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031A0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EA5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72EA5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EA5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EA5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EA5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EA5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EA5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EA5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EA5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EA5" w:rsidRPr="00031A03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572EA5" w:rsidRPr="00031A03" w:rsidTr="00572EA5">
        <w:trPr>
          <w:trHeight w:val="28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Оказание консультативной поддержки социально ориентированным некоммерческим организациям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72EA5" w:rsidRPr="00031A03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572EA5" w:rsidRPr="00031A03" w:rsidTr="00572E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  <w:r w:rsidRPr="00031A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F84D75" w:rsidRDefault="00572EA5" w:rsidP="00031A0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D75">
              <w:rPr>
                <w:rFonts w:ascii="Times New Roman" w:hAnsi="Times New Roman"/>
                <w:b/>
                <w:sz w:val="28"/>
                <w:szCs w:val="28"/>
              </w:rPr>
              <w:t>60,0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F84D75" w:rsidRDefault="00572EA5" w:rsidP="00572EA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F84D75" w:rsidRDefault="00572EA5" w:rsidP="00572EA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2EA5" w:rsidRPr="00031A03" w:rsidTr="00572E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F84D75" w:rsidRDefault="00572EA5" w:rsidP="00031A0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D75">
              <w:rPr>
                <w:rFonts w:ascii="Times New Roman" w:hAnsi="Times New Roman"/>
                <w:b/>
                <w:sz w:val="28"/>
                <w:szCs w:val="28"/>
              </w:rPr>
              <w:t>60,0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F84D75" w:rsidRDefault="00572EA5" w:rsidP="00572EA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F84D75" w:rsidRDefault="00572EA5" w:rsidP="00572EA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A03" w:rsidRPr="00031A03" w:rsidRDefault="00031A03" w:rsidP="00031A03">
      <w:pPr>
        <w:tabs>
          <w:tab w:val="left" w:pos="333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DE" w:rsidRDefault="00616ADE"/>
    <w:sectPr w:rsidR="00616ADE" w:rsidSect="00741A3B">
      <w:pgSz w:w="16838" w:h="11906" w:orient="landscape"/>
      <w:pgMar w:top="851" w:right="1134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4D2"/>
    <w:multiLevelType w:val="hybridMultilevel"/>
    <w:tmpl w:val="A762E64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B01A9"/>
    <w:multiLevelType w:val="hybridMultilevel"/>
    <w:tmpl w:val="BEC2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58F8"/>
    <w:multiLevelType w:val="hybridMultilevel"/>
    <w:tmpl w:val="937C93AC"/>
    <w:lvl w:ilvl="0" w:tplc="26362E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4A5A"/>
    <w:multiLevelType w:val="hybridMultilevel"/>
    <w:tmpl w:val="AF0A9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D456FC"/>
    <w:multiLevelType w:val="hybridMultilevel"/>
    <w:tmpl w:val="8222D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3E65"/>
    <w:rsid w:val="00031A03"/>
    <w:rsid w:val="00037C45"/>
    <w:rsid w:val="001F2850"/>
    <w:rsid w:val="002E043E"/>
    <w:rsid w:val="0031088B"/>
    <w:rsid w:val="00350DEA"/>
    <w:rsid w:val="003B2B2E"/>
    <w:rsid w:val="003C5F53"/>
    <w:rsid w:val="003C6089"/>
    <w:rsid w:val="0043761E"/>
    <w:rsid w:val="0049204B"/>
    <w:rsid w:val="00572EA5"/>
    <w:rsid w:val="00616ADE"/>
    <w:rsid w:val="00673E65"/>
    <w:rsid w:val="006E3287"/>
    <w:rsid w:val="00741A3B"/>
    <w:rsid w:val="007501E5"/>
    <w:rsid w:val="0083751B"/>
    <w:rsid w:val="008707A2"/>
    <w:rsid w:val="008A5984"/>
    <w:rsid w:val="00A43A1C"/>
    <w:rsid w:val="00E12C03"/>
    <w:rsid w:val="00E406FD"/>
    <w:rsid w:val="00F55F1C"/>
    <w:rsid w:val="00F66B63"/>
    <w:rsid w:val="00F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E32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29</cp:revision>
  <cp:lastPrinted>2018-11-01T06:50:00Z</cp:lastPrinted>
  <dcterms:created xsi:type="dcterms:W3CDTF">2017-10-16T06:38:00Z</dcterms:created>
  <dcterms:modified xsi:type="dcterms:W3CDTF">2018-11-15T10:38:00Z</dcterms:modified>
</cp:coreProperties>
</file>