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06" w:rsidRPr="00C06615" w:rsidRDefault="00794006" w:rsidP="00794006">
      <w:pPr>
        <w:spacing w:after="0" w:line="330" w:lineRule="atLeast"/>
        <w:ind w:firstLine="720"/>
        <w:jc w:val="both"/>
        <w:outlineLvl w:val="2"/>
        <w:rPr>
          <w:rFonts w:ascii="Times New Roman" w:hAnsi="Times New Roman"/>
          <w:b/>
          <w:sz w:val="28"/>
          <w:szCs w:val="28"/>
        </w:rPr>
      </w:pPr>
      <w:r w:rsidRPr="00C06615">
        <w:rPr>
          <w:rFonts w:ascii="Times New Roman" w:hAnsi="Times New Roman"/>
          <w:b/>
          <w:sz w:val="28"/>
          <w:szCs w:val="28"/>
        </w:rPr>
        <w:t xml:space="preserve">20. </w:t>
      </w:r>
      <w:hyperlink r:id="rId6" w:history="1">
        <w:r w:rsidRPr="00C06615">
          <w:rPr>
            <w:rStyle w:val="a4"/>
            <w:rFonts w:ascii="Times New Roman" w:hAnsi="Times New Roman"/>
            <w:b/>
            <w:color w:val="auto"/>
            <w:sz w:val="28"/>
            <w:szCs w:val="28"/>
            <w:u w:val="none"/>
          </w:rPr>
          <w:t xml:space="preserve">Об оплате труда лиц, работающих в условиях, отклоняющихся </w:t>
        </w:r>
        <w:proofErr w:type="gramStart"/>
        <w:r w:rsidRPr="00C06615">
          <w:rPr>
            <w:rStyle w:val="a4"/>
            <w:rFonts w:ascii="Times New Roman" w:hAnsi="Times New Roman"/>
            <w:b/>
            <w:color w:val="auto"/>
            <w:sz w:val="28"/>
            <w:szCs w:val="28"/>
            <w:u w:val="none"/>
          </w:rPr>
          <w:t>от</w:t>
        </w:r>
        <w:proofErr w:type="gramEnd"/>
        <w:r w:rsidRPr="00C06615">
          <w:rPr>
            <w:rStyle w:val="a4"/>
            <w:rFonts w:ascii="Times New Roman" w:hAnsi="Times New Roman"/>
            <w:b/>
            <w:color w:val="auto"/>
            <w:sz w:val="28"/>
            <w:szCs w:val="28"/>
            <w:u w:val="none"/>
          </w:rPr>
          <w:t xml:space="preserve"> нормальных</w:t>
        </w:r>
      </w:hyperlink>
      <w:r w:rsidRPr="00C06615">
        <w:rPr>
          <w:rFonts w:ascii="Times New Roman" w:hAnsi="Times New Roman"/>
          <w:b/>
          <w:sz w:val="28"/>
          <w:szCs w:val="28"/>
        </w:rPr>
        <w:t xml:space="preserve"> </w:t>
      </w:r>
    </w:p>
    <w:p w:rsidR="00794006" w:rsidRPr="00C06615" w:rsidRDefault="00794006" w:rsidP="00794006">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В соответствии с позицией Конституционного Суда Российской Федерации, изложенной в Постановлении от 11.04.2019 № 17-П, повышенная оплата труда работников в условиях, отклоняющихся от нормальных, не может включаться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w:t>
      </w:r>
      <w:proofErr w:type="gramEnd"/>
    </w:p>
    <w:p w:rsidR="00794006" w:rsidRPr="00C06615" w:rsidRDefault="00794006" w:rsidP="00794006">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В соответствии с требованиями ст. 149 Трудового кодекса Российской Федерации (далее – ТК РФ)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w:t>
      </w:r>
      <w:proofErr w:type="gramEnd"/>
      <w:r w:rsidRPr="00C06615">
        <w:rPr>
          <w:rFonts w:ascii="Times New Roman" w:hAnsi="Times New Roman"/>
          <w:sz w:val="28"/>
          <w:szCs w:val="28"/>
        </w:rPr>
        <w:t xml:space="preserve"> правовыми актами, содержащими нормы трудового права, коллективным договором, соглашениями, локальными нормативными актами, трудовым договором, размер которых не может быть ниже установленных трудовым законодательством и иными нормативными правовыми актами, содержащими нормы трудового права.</w:t>
      </w:r>
    </w:p>
    <w:p w:rsidR="00794006" w:rsidRPr="00C06615" w:rsidRDefault="00794006" w:rsidP="00794006">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Из буквального смысла </w:t>
      </w:r>
      <w:hyperlink r:id="rId7" w:history="1">
        <w:r w:rsidRPr="00C06615">
          <w:rPr>
            <w:rStyle w:val="a4"/>
            <w:rFonts w:ascii="Times New Roman" w:hAnsi="Times New Roman"/>
            <w:color w:val="auto"/>
            <w:sz w:val="28"/>
            <w:szCs w:val="28"/>
            <w:u w:val="none"/>
          </w:rPr>
          <w:t>статей 149</w:t>
        </w:r>
      </w:hyperlink>
      <w:r w:rsidRPr="00C06615">
        <w:rPr>
          <w:rFonts w:ascii="Times New Roman" w:hAnsi="Times New Roman"/>
          <w:sz w:val="28"/>
          <w:szCs w:val="28"/>
        </w:rPr>
        <w:t>, 151, </w:t>
      </w:r>
      <w:hyperlink r:id="rId8" w:history="1">
        <w:r w:rsidRPr="00C06615">
          <w:rPr>
            <w:rStyle w:val="a4"/>
            <w:rFonts w:ascii="Times New Roman" w:hAnsi="Times New Roman"/>
            <w:color w:val="auto"/>
            <w:sz w:val="28"/>
            <w:szCs w:val="28"/>
            <w:u w:val="none"/>
          </w:rPr>
          <w:t>152</w:t>
        </w:r>
      </w:hyperlink>
      <w:r w:rsidRPr="00C06615">
        <w:rPr>
          <w:rFonts w:ascii="Times New Roman" w:hAnsi="Times New Roman"/>
          <w:sz w:val="28"/>
          <w:szCs w:val="28"/>
        </w:rPr>
        <w:t>, </w:t>
      </w:r>
      <w:hyperlink r:id="rId9" w:history="1">
        <w:r w:rsidRPr="00C06615">
          <w:rPr>
            <w:rStyle w:val="a4"/>
            <w:rFonts w:ascii="Times New Roman" w:hAnsi="Times New Roman"/>
            <w:color w:val="auto"/>
            <w:sz w:val="28"/>
            <w:szCs w:val="28"/>
            <w:u w:val="none"/>
          </w:rPr>
          <w:t>153</w:t>
        </w:r>
      </w:hyperlink>
      <w:r w:rsidRPr="00C06615">
        <w:rPr>
          <w:rFonts w:ascii="Times New Roman" w:hAnsi="Times New Roman"/>
          <w:sz w:val="28"/>
          <w:szCs w:val="28"/>
        </w:rPr>
        <w:t> и </w:t>
      </w:r>
      <w:hyperlink r:id="rId10" w:history="1">
        <w:r w:rsidRPr="00C06615">
          <w:rPr>
            <w:rStyle w:val="a4"/>
            <w:rFonts w:ascii="Times New Roman" w:hAnsi="Times New Roman"/>
            <w:color w:val="auto"/>
            <w:sz w:val="28"/>
            <w:szCs w:val="28"/>
            <w:u w:val="none"/>
          </w:rPr>
          <w:t>154</w:t>
        </w:r>
      </w:hyperlink>
      <w:r w:rsidRPr="00C06615">
        <w:rPr>
          <w:rFonts w:ascii="Times New Roman" w:hAnsi="Times New Roman"/>
          <w:sz w:val="28"/>
          <w:szCs w:val="28"/>
        </w:rPr>
        <w:t> ТК РФ следует, что сверхурочная работа, работа в ночное время, в выходные и нерабочие праздничные дни оплачивается в повышенном размере. Так, в соответствии с положениями ст.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w:t>
      </w:r>
    </w:p>
    <w:p w:rsidR="00794006" w:rsidRPr="00C06615" w:rsidRDefault="00794006" w:rsidP="00794006">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Статьей 152 ТК РФ предписано оплачивать сверхурочную работу за первые два часа работы не менее чем в полуторном размере, за последующие часы – не менее чем в двойном размере.</w:t>
      </w:r>
    </w:p>
    <w:p w:rsidR="00794006" w:rsidRPr="00C06615" w:rsidRDefault="00794006" w:rsidP="00794006">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В силу норм ст. 153 ТК РФ работа в выходной или нерабочий праздничный день оплачивается не менее чем в двойном размере, а каждый час работы в ночное время оплачивается в повышенном размере по сравнению с работой в нормальных условиях </w:t>
      </w:r>
      <w:hyperlink r:id="rId11" w:history="1">
        <w:r w:rsidRPr="00C06615">
          <w:rPr>
            <w:rStyle w:val="a4"/>
            <w:rFonts w:ascii="Times New Roman" w:hAnsi="Times New Roman"/>
            <w:color w:val="auto"/>
            <w:sz w:val="28"/>
            <w:szCs w:val="28"/>
            <w:u w:val="none"/>
          </w:rPr>
          <w:t>(ст. 154 ТК РФ)</w:t>
        </w:r>
      </w:hyperlink>
      <w:r w:rsidRPr="00C06615">
        <w:rPr>
          <w:rFonts w:ascii="Times New Roman" w:hAnsi="Times New Roman"/>
          <w:sz w:val="28"/>
          <w:szCs w:val="28"/>
        </w:rPr>
        <w:t>.</w:t>
      </w:r>
    </w:p>
    <w:p w:rsidR="00794006" w:rsidRPr="00C06615" w:rsidRDefault="00794006" w:rsidP="00794006">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 xml:space="preserve">Установление повышенной оплаты сверхурочной работы, работы в выходные и нерабочие праздничные дни, работы в ночное время обусловлено повышенными трудозатратами работника, вызванными сокращением времени отдыха либо работой в то время, которое биологически не предназначено для активной деятельности, а также лишением работника возможности распоряжаться временем отдыха, использовать его по прямому предназначению, что приводит к дополнительной физиологической и психоэмоциональной нагрузке </w:t>
      </w:r>
      <w:r w:rsidRPr="00C06615">
        <w:rPr>
          <w:rFonts w:ascii="Times New Roman" w:hAnsi="Times New Roman"/>
          <w:sz w:val="28"/>
          <w:szCs w:val="28"/>
        </w:rPr>
        <w:lastRenderedPageBreak/>
        <w:t>и создает угрозу</w:t>
      </w:r>
      <w:proofErr w:type="gramEnd"/>
      <w:r w:rsidRPr="00C06615">
        <w:rPr>
          <w:rFonts w:ascii="Times New Roman" w:hAnsi="Times New Roman"/>
          <w:sz w:val="28"/>
          <w:szCs w:val="28"/>
        </w:rPr>
        <w:t xml:space="preserve"> причинения вреда здоровью работой в ночное время либо сокращением времени на восстановление сил и работоспособности.</w:t>
      </w:r>
    </w:p>
    <w:p w:rsidR="00794006" w:rsidRPr="00C06615" w:rsidRDefault="00794006" w:rsidP="00794006">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Исходя из перечисленных требований законодательства, при установлении заработной платы работникам, труд которых связан со сверхурочной работой, работой в ночное время, в выходные и нерабочие праздничные дни, работодатель обязан оплачивать в повышенном размере, подлежащий начислению на должностной оклад, определенный в размере не менее минимального размера оплаты труда, а затем начислять районный коэффициент и процентную надбавку за работу в особых климатических условиях.</w:t>
      </w:r>
      <w:proofErr w:type="gramEnd"/>
    </w:p>
    <w:p w:rsidR="00794006" w:rsidRPr="00C06615" w:rsidRDefault="00794006" w:rsidP="00794006">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 xml:space="preserve">В случае начисления работодателями заработной платы работникам при выполнении работ в условиях, отклоняющихся от нормальных, в нарушении указанных требований трудового законодательства, в соответствии с положениями ст. 392 ТК РФ каждый работник вправе обратиться с иском о взыскании </w:t>
      </w:r>
      <w:proofErr w:type="spellStart"/>
      <w:r w:rsidRPr="00C06615">
        <w:rPr>
          <w:rFonts w:ascii="Times New Roman" w:hAnsi="Times New Roman"/>
          <w:sz w:val="28"/>
          <w:szCs w:val="28"/>
        </w:rPr>
        <w:t>недоначисленной</w:t>
      </w:r>
      <w:proofErr w:type="spellEnd"/>
      <w:r w:rsidRPr="00C06615">
        <w:rPr>
          <w:rFonts w:ascii="Times New Roman" w:hAnsi="Times New Roman"/>
          <w:sz w:val="28"/>
          <w:szCs w:val="28"/>
        </w:rPr>
        <w:t xml:space="preserve"> заработной платы как в суд по месту своего жительства, так и в суд по месту исполнения трудового договора.</w:t>
      </w:r>
      <w:proofErr w:type="gramEnd"/>
    </w:p>
    <w:p w:rsidR="00106592" w:rsidRPr="00794006" w:rsidRDefault="00106592" w:rsidP="00794006">
      <w:bookmarkStart w:id="0" w:name="_GoBack"/>
      <w:bookmarkEnd w:id="0"/>
    </w:p>
    <w:sectPr w:rsidR="00106592" w:rsidRPr="00794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E16F6"/>
    <w:multiLevelType w:val="hybridMultilevel"/>
    <w:tmpl w:val="C71CF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51"/>
    <w:rsid w:val="00056E9C"/>
    <w:rsid w:val="000E22DD"/>
    <w:rsid w:val="00106592"/>
    <w:rsid w:val="001236A8"/>
    <w:rsid w:val="002943A6"/>
    <w:rsid w:val="003E79DE"/>
    <w:rsid w:val="004B1C6D"/>
    <w:rsid w:val="00522007"/>
    <w:rsid w:val="0058638C"/>
    <w:rsid w:val="006A34A4"/>
    <w:rsid w:val="006C2977"/>
    <w:rsid w:val="006D5EDC"/>
    <w:rsid w:val="00752D47"/>
    <w:rsid w:val="00762BAE"/>
    <w:rsid w:val="00794006"/>
    <w:rsid w:val="009132FE"/>
    <w:rsid w:val="009B0E12"/>
    <w:rsid w:val="00A46C04"/>
    <w:rsid w:val="00AB5EB0"/>
    <w:rsid w:val="00AF3F51"/>
    <w:rsid w:val="00B978C9"/>
    <w:rsid w:val="00FA43F2"/>
    <w:rsid w:val="00FD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0D3B464AE3ECA034B71242F7347B37061088DF7872F81E2CB78598469F632DC96A10D5AB382CB6301C1ECCDF7D69C5A2C73C4E0p7P7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780D3B464AE3ECA034B71242F7347B37061088DF7872F81E2CB78598469F632DC96A10D5BB682CB6301C1ECCDF7D69C5A2C73C4E0p7P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mprok.ru/prokuratura-raz-yasnyaet/8528-ob-oplate-truda-lits-rabotayushchikh-v-usloviyakh-otklonyayushchikhsya-ot-normalnykh" TargetMode="External"/><Relationship Id="rId11" Type="http://schemas.openxmlformats.org/officeDocument/2006/relationships/hyperlink" Target="consultantplus://offline/ref=C780D3B464AE3ECA034B71242F7347B37061088DF7872F81E2CB78598469F632DC96A10B5BB0899F3A4EC0B088A3C59D5E2C71C1FF7CC635p8P6D" TargetMode="External"/><Relationship Id="rId5" Type="http://schemas.openxmlformats.org/officeDocument/2006/relationships/webSettings" Target="webSettings.xml"/><Relationship Id="rId10" Type="http://schemas.openxmlformats.org/officeDocument/2006/relationships/hyperlink" Target="consultantplus://offline/ref=C780D3B464AE3ECA034B71242F7347B37061088DF7872F81E2CB78598469F632DC96A10B5BB0899F3A4EC0B088A3C59D5E2C71C1FF7CC635p8P6D" TargetMode="External"/><Relationship Id="rId4" Type="http://schemas.openxmlformats.org/officeDocument/2006/relationships/settings" Target="settings.xml"/><Relationship Id="rId9" Type="http://schemas.openxmlformats.org/officeDocument/2006/relationships/hyperlink" Target="consultantplus://offline/ref=C780D3B464AE3ECA034B71242F7347B37061088DF7872F81E2CB78598469F632DC96A10D5AB482CB6301C1ECCDF7D69C5A2C73C4E0p7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2020-06-29T10:51:00Z</dcterms:created>
  <dcterms:modified xsi:type="dcterms:W3CDTF">2020-06-29T10:51:00Z</dcterms:modified>
</cp:coreProperties>
</file>