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Об уголовной ответственности за вовлечение несовершеннолетнего в совершение преступления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 предусматривает уголовную ответственность за вовлечение несовершеннолетнего в совершение преступлений и антиобщественных действий (ст.ст. 150, 151 УК РФ).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законодательство признает несовершеннолетним лицо, которому ко времени совершения преступления исполнилось 14 лет, но не исполнилось 18 лет.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Под «вовлечением» несовершеннолетнего в совершение преступления понимаются действия лица, направленные на побуждение к совершению преступления. Таковыми могут быть обещания, обман, угрозы, уговоры, а также разжигание чувства зависти, мести либо иные подстрекательские действия.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обстоятельств законодательством предусмотрены различные виды наказаний за вовлечение несовершеннолетнего в совершение преступления.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Так, ч. 2 ст. 150 УК РФ предусмотрена уголовная ответственность специальных субъектов по отношению к несовершеннолетнему, в том числе родителей, педагогов либо иных лиц, на которых законом возложена обязанность по воспитанию несовершеннолетнего.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насилия или угрозы его применения при вовлечении несовершеннолетнего в совершение преступления, независимо от субъектной составляющей лица, склоняющего несовершеннолетнего, уголовная ответственность предусмотрена по ч. 3 ст. 150 УК РФ.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опасность представляет совершение преступления, предусмотренного ч. 4 ст. 150 УК РФ, связанного с вовлечением в преступную группу либо в совершение тяжкого или особо тяжкого преступления,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b/>
          <w:bCs/>
          <w:sz w:val="28"/>
          <w:szCs w:val="28"/>
        </w:rPr>
        <w:t>Какое предусмотрено наказание за вовлечение несовершеннолетнего в преступную деятельность?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указанных преступлений законом предусмотрено назначение безальтернативного наказания в виде лишения свободы. При этом, самое суровое наказание предусмотрено за вовлечение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которое может достигнуть 8 лет лишения свободы.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обстоятельств дела по рассматриваемой статье могут быть назначены дополнительные виды наказаний в виде ограничения свободы (ч.ч. 3, 4 ст. 150 УК РФ) либо лишения права занимать определенные должности или заниматься определенной деятельностью (ч. 2 ст. 150 УК РФ).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LibreOffice/6.4.6.2$Linux_X86_64 LibreOffice_project/40$Build-2</Application>
  <Pages>2</Pages>
  <Words>325</Words>
  <Characters>2339</Characters>
  <CharactersWithSpaces>2653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2021-06-21T08:34:38Z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