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Российской Федерации разъяснил вопросы, возникающие в судебной практике при рассмотрении дел о неуплате алиментов на содержание детей или нетрудоспособных родителей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Пленумом Верховного Суда Российской Федерации 27.04.2021 принято постановление № 6 «О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родителей».</w:t>
        <w:br/>
        <w:t>Данным постановлением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</w:t>
        <w:br/>
        <w:t>В частности, сообщено следующее: период неуплаты алиментов должен составлять не менее двух месяцев подряд в рамках возбужденного исполнительного производства.</w:t>
        <w:br/>
        <w:t>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  <w:br/>
        <w:t>-уважительными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</w:t>
        <w:br/>
        <w:t>-по вине других лиц, в частности в связи с невыплатой заработной платы работодателем, задержкой или неправильным перечислением банком сумм по алиментам;</w:t>
        <w:br/>
        <w:t>-вследствие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</w:t>
        <w:br/>
        <w:t>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  <w:br/>
        <w:t>— 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 период, производство по делу подлежит прекращению в связи с отсутствием события административного правонарушения;</w:t>
        <w:br/>
        <w:t>— 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 (действиям).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2</Pages>
  <Words>380</Words>
  <Characters>2767</Characters>
  <CharactersWithSpaces>3147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2021-06-21T08:30:52Z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